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pStyle w:val="Title"/></w:pPr><w:r><w:t xml:space="preserve">Artefact Revenue Intelligence</w:t></w:r></w:p><w:p><w:pPr><w:pStyle w:val="Title"/></w:pPr><w:r><w:t xml:space="preserve">MCP Server</w:t></w:r></w:p><w:p><w:pPr><w:pStyle w:val="Subtitle"/></w:pPr><w:r><w:t xml:space="preserve">Product Guide</w:t></w:r></w:p><w:p><w:pPr><w:pStyle w:val="Subtitle"/></w:pPr><w:r><w:t xml:space="preserve">Version 0.2.3 • February 2026</w:t></w:r></w:p><w:p><w:pPr><w:pStyle w:val="Subtitle"/></w:pPr><w:r><w:t xml:space="preserve">Methodology-Driven Revenue Intelligence for AI Assistants</w:t></w:r></w:p><w:p><w:r><w:br w:type="page"/></w:r></w:p><w:sdt><w:sdtPr><w:alias w:val="Table of Contents"/></w:sdtPr><w:sdtContent><w:p><w:r><w:fldChar w:fldCharType="begin" w:dirty="true"/><w:instrText xml:space="preserve">TOC \h \o &quot;1-3&quot;</w:instrText><w:fldChar w:fldCharType="separate"/></w:r></w:p><w:p><w:r><w:fldChar w:fldCharType="end"/></w:r></w:p></w:sdtContent></w:sdt><w:p><w:r><w:br w:type="page"/></w:r></w:p><w:p><w:pPr><w:pStyle w:val="Heading1"/></w:pPr><w:r><w:t xml:space="preserve">1. Executive Summary</w:t></w:r></w:p><w:p><w:pPr><w:pStyle w:val="Heading2"/></w:pPr><w:r><w:t xml:space="preserve">What It Is</w:t></w:r></w:p><w:p><w:r><w:t xml:space="preserve">The Artefact Revenue Intelligence MCP Server is the first commercial MCP (Model Context Protocol) server that packages the ICP Triangulation Framework™ into AI-accessible tools. It enables any AI assistant (Claude, Cursor, Windsurf, custom agents) to score prospects across three dimensions — firmographics, behaviors, and growth signals — going beyond traditional demographic-only ICP models.</w:t></w:r></w:p><w:p><w:pPr><w:pStyle w:val="Heading2"/></w:pPr><w:r><w:t xml:space="preserve">Why It Matters</w:t></w:r></w:p><w:p><w:pPr><w:pStyle w:val="ListParagraph"/><w:numPr><w:ilvl w:val="0"/><w:numId w:val="2"/></w:numPr></w:pPr><w:r><w:rPr><w:b/><w:bCs/></w:rPr><w:t xml:space="preserve">Productizes consulting IP: </w:t></w:r><w:r><w:t xml:space="preserve">Turns methodology (RFM analysis, ICP scoring, pipeline health) into software that runs 24/7</w:t></w:r></w:p><w:p><w:pPr><w:pStyle w:val="ListParagraph"/><w:numPr><w:ilvl w:val="0"/><w:numId w:val="2"/></w:numPr></w:pPr><w:r><w:rPr><w:b/><w:bCs/></w:rPr><w:t xml:space="preserve">New revenue stream: </w:t></w:r><w:r><w:t xml:space="preserve">Subscription SaaS separate from consulting engagement hours</w:t></w:r></w:p><w:p><w:pPr><w:pStyle w:val="ListParagraph"/><w:numPr><w:ilvl w:val="0"/><w:numId w:val="2"/></w:numPr></w:pPr><w:r><w:rPr><w:b/><w:bCs/></w:rPr><w:t xml:space="preserve">Competitive moat: </w:t></w:r><w:r><w:t xml:space="preserve">First and only MCP server with built-in revenue intelligence methodology</w:t></w:r></w:p><w:p><w:pPr><w:pStyle w:val="ListParagraph"/><w:numPr><w:ilvl w:val="0"/><w:numId w:val="2"/></w:numPr></w:pPr><w:r><w:rPr><w:b/><w:bCs/></w:rPr><w:t xml:space="preserve">Zero marginal delivery cost: </w:t></w:r><w:r><w:t xml:space="preserve">Software scales infinitely; no consultant capacity constraints</w:t></w:r></w:p><w:p><w:pPr><w:pStyle w:val="ListParagraph"/><w:numPr><w:ilvl w:val="0"/><w:numId w:val="2"/></w:numPr></w:pPr><w:r><w:rPr><w:b/><w:bCs/></w:rPr><w:t xml:space="preserve">AI-native distribution: </w:t></w:r><w:r><w:t xml:space="preserve">Listed on MCP registries, discovered via AI assistants, embedded in workflows</w:t></w:r></w:p><w:p><w:pPr><w:pStyle w:val="Heading2"/></w:pPr><w:r><w:t xml:space="preserve">The Differentiation</w:t></w:r></w:p><w:tbl><w:tblPr><w:tblW w:type="auto" w:w="100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CellMar><w:top w:type="dxa" w:w="100"/><w:left w:type="dxa" w:w="180"/><w:bottom w:type="dxa" w:w="100"/><w:right w:type="dxa" w:w="180"/></w:tblCellMar></w:tblPr><w:tblGrid><w:gridCol w:w="4680"/><w:gridCol w:w="4680"/></w:tblGrid><w:tr><w:trPr><w:tblHeader/></w:trPr><w:tc><w:tcPr><w:tcW w:type="dxa" w:w="4680"/><w:tcBorders><w:top w:val="single" w:color="CCCCCC" w:sz="1"/><w:left w:val="single" w:color="CCCCCC" w:sz="1"/><w:bottom w:val="single" w:color="CCCCCC" w:sz="1"/><w:right w:val="single" w:color="CCCCCC" w:sz="1"/></w:tcBorders><w:shd w:fill="1A5490" w:val="clear"/><w:vAlign w:val="center"/></w:tcPr><w:p><w:pPr><w:jc w:val="center"/></w:pPr><w:r><w:rPr><w:b/><w:bCs/><w:color w:val="FFFFFF"/><w:sz w:val="22"/><w:szCs w:val="22"/></w:rPr><w:t xml:space="preserve">What Others Do</w:t></w:r></w:p></w:tc><w:tc><w:tcPr><w:tcW w:type="dxa" w:w="4680"/><w:tcBorders><w:top w:val="single" w:color="CCCCCC" w:sz="1"/><w:left w:val="single" w:color="CCCCCC" w:sz="1"/><w:bottom w:val="single" w:color="CCCCCC" w:sz="1"/><w:right w:val="single" w:color="CCCCCC" w:sz="1"/></w:tcBorders><w:shd w:fill="1A5490" w:val="clear"/></w:tcPr><w:p><w:pPr><w:jc w:val="center"/></w:pPr><w:r><w:rPr><w:b/><w:bCs/><w:color w:val="FFFFFF"/><w:sz w:val="22"/><w:szCs w:val="22"/></w:rPr><w:t xml:space="preserve">What Artefact Does</w:t></w:r></w:p></w:tc></w:tr><w:tr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t xml:space="preserve">Generic HubSpot CRUD operations</w:t></w:r></w:p></w:tc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Proprietary scoring and segmentation models</w:t></w:r></w:p></w:tc></w:tr><w:tr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t xml:space="preserve">Read/write contacts and deals</w:t></w:r></w:p></w:tc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ICP Triangulation Framework™ — firmographics + behaviors + growth signals</w:t></w:r></w:p></w:tc></w:tr><w:tr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t xml:space="preserve">Demographic-only ICP scoring</w:t></w:r></w:p></w:tc><w:tc><w:tcPr><w:tcW w:type="dxa" w:w="468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Three-dimensional prospect intelligence</w:t></w:r></w:p></w:tc></w:tr></w:tbl><w:p><w:r><w:br w:type="page"/></w:r></w:p><w:p><w:pPr><w:pStyle w:val="Heading1"/></w:pPr><w:r><w:t xml:space="preserve">2. Product Overview</w:t></w:r></w:p><w:p><w:pPr><w:pStyle w:val="Heading2"/></w:pPr><w:r><w:t xml:space="preserve">Core Value Proposition</w:t></w:r></w:p><w:p><w:pPr><w:spacing w:before="120" w:after="120"/><w:jc w:val="center"/></w:pPr><w:r><w:rPr><w:i/><w:iCs/><w:color w:val="1A5490"/><w:sz w:val="26"/><w:szCs w:val="26"/></w:rPr><w:t xml:space="preserve">&quot;Three-dimensional revenue intelligence. Because demographics alone don&apos;t close deals.&quot;</w:t></w:r></w:p><w:p><w:r><w:t xml:space="preserve">Traditional ICP models stop at firmographics. Artefact triangulates across profile, activity, and momentum to identify revenue-ready prospects.</w:t></w:r></w:p><w:p><w:pPr><w:pStyle w:val="Heading2"/></w:pPr><w:r><w:t xml:space="preserve">Three Core Tools</w:t></w:r></w:p><w:p><w:pPr><w:pStyle w:val="Heading3"/></w:pPr><w:r><w:t xml:space="preserve">1. run_rfm — RFM Analysis</w:t></w:r></w:p><w:p><w:r><w:rPr><w:b/><w:bCs/></w:rPr><w:t xml:space="preserve">What it does: </w:t></w:r><w:r><w:t xml:space="preserve">Scores clients based on Recency, Frequency, and Monetary value. Segments them into 11 categories (Champions, Loyal Customers, At Risk, Lost, etc.) and extracts ICP patterns from top performers.</w:t></w:r></w:p><w:p><w:r><w:rPr><w:b/><w:bCs/></w:rPr><w:t xml:space="preserve">Industry-specific presets:</w:t></w:r></w:p><w:p><w:pPr><w:pStyle w:val="ListParagraph"/><w:numPr><w:ilvl w:val="0"/><w:numId w:val="2"/></w:numPr></w:pPr><w:r><w:rPr><w:b/><w:bCs/></w:rPr><w:t xml:space="preserve">B2B Service (default): </w:t></w:r><w:r><w:t xml:space="preserve">Recency thresholds [60, 180, 365, 730 days]</w:t></w:r></w:p><w:p><w:pPr><w:pStyle w:val="ListParagraph"/><w:numPr><w:ilvl w:val="0"/><w:numId w:val="2"/></w:numPr></w:pPr><w:r><w:rPr><w:b/><w:bCs/></w:rPr><w:t xml:space="preserve">B2B SaaS: </w:t></w:r><w:r><w:t xml:space="preserve">Recency thresholds [30, 60, 90, 180 days]</w:t></w:r></w:p><w:p><w:pPr><w:pStyle w:val="ListParagraph"/><w:numPr><w:ilvl w:val="0"/><w:numId w:val="2"/></w:numPr></w:pPr><w:r><w:rPr><w:b/><w:bCs/></w:rPr><w:t xml:space="preserve">B2B Manufacturing: </w:t></w:r><w:r><w:t xml:space="preserve">Recency thresholds [90, 365, 730, 1095 days]</w:t></w:r></w:p><w:p><w:pPr><w:pStyle w:val="Heading3"/></w:pPr><w:r><w:t xml:space="preserve">2. qualify — ICP Triangulation Framework™</w:t></w:r></w:p><w:p><w:r><w:rPr><w:b/><w:bCs/></w:rPr><w:t xml:space="preserve">What it does: </w:t></w:r><w:r><w:t xml:space="preserve">Scores prospects across three dimensions to identify revenue-ready opportunities:</w:t></w:r></w:p><w:p><w:pPr><w:pStyle w:val="ListParagraph"/><w:numPr><w:ilvl w:val="0"/><w:numId w:val="2"/></w:numPr></w:pPr><w:r><w:rPr><w:b/><w:bCs/></w:rPr><w:t xml:space="preserve">🏢 Firmographic Fit (Who they are): </w:t></w:r><w:r><w:t xml:space="preserve">Industry, revenue range, employee count, geography — the foundation</w:t></w:r></w:p><w:p><w:pPr><w:pStyle w:val="ListParagraph"/><w:numPr><w:ilvl w:val="0"/><w:numId w:val="2"/></w:numPr></w:pPr><w:r><w:rPr><w:b/><w:bCs/></w:rPr><w:t xml:space="preserve">🎯 Behavioral Fit (What they&apos;re doing): </w:t></w:r><w:r><w:t xml:space="preserve">Tech stack adoption, growth signals, content engagement, purchase history — intent indicators</w:t></w:r></w:p><w:p><w:pPr><w:pStyle w:val="ListParagraph"/><w:numPr><w:ilvl w:val="0"/><w:numId w:val="2"/></w:numPr></w:pPr><w:r><w:rPr><w:b/><w:bCs/></w:rPr><w:t xml:space="preserve">📈 Growth Signals (Where they&apos;re heading): </w:t></w:r><w:r><w:t xml:space="preserve">Hiring trends, funding rounds, expansion momentum, press mentions — buying power indicators</w:t></w:r></w:p><w:p><w:pPr><w:pStyle w:val="Heading3"/></w:pPr><w:r><w:t xml:space="preserve">3. score_pipeline_health — Pipeline Health Scoring</w:t></w:r></w:p><w:p><w:r><w:rPr><w:b/><w:bCs/></w:rPr><w:t xml:space="preserve">What it does: </w:t></w:r><w:r><w:t xml:space="preserve">Analyzes open deals for velocity metrics, stage-to-stage conversion rates, bottleneck identification, and at-risk deal detection.</w:t></w:r></w:p><w:p><w:r><w:br w:type="page"/></w:r></w:p><w:p><w:pPr><w:pStyle w:val="Heading1"/></w:pPr><w:r><w:t xml:space="preserve">3. Pricing &amp; Revenue Model</w:t></w:r></w:p><w:tbl><w:tblPr><w:tblW w:type="auto" w:w="100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CellMar><w:top w:type="dxa" w:w="100"/><w:left w:type="dxa" w:w="180"/><w:bottom w:type="dxa" w:w="100"/><w:right w:type="dxa" w:w="180"/></w:tblCellMar></w:tblPr><w:tblGrid><w:gridCol w:w="2340"/><w:gridCol w:w="2340"/><w:gridCol w:w="2340"/><w:gridCol w:w="2340"/></w:tblGrid><w:tr><w:trPr><w:tblHeader/></w:trPr><0/></w:tr><w:tr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Free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$0/mo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Demo data only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Developers, trial users</w:t></w:r></w:p></w:tc></w:tr><w:tr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Pro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rPr><w:b/><w:bCs/><w:color w:val="1A5490"/></w:rPr><w:t xml:space="preserve">$149/mo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Live HubSpot integration, all tools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RevOps managers, consultants</w:t></w:r></w:p></w:tc></w:tr><w:tr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Enterprise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rPr><w:b/><w:bCs/><w:color w:val="1A5490"/></w:rPr><w:t xml:space="preserve">$499/mo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Pro + multi-portal + priority support</w:t></w:r></w:p></w:tc><w:tc><w:tcPr><w:tcW w:type="dxa" w:w="2340"/><w:tcBorders><w:top w:val="single" w:color="CCCCCC" w:sz="1"/><w:left w:val="single" w:color="CCCCCC" w:sz="1"/><w:bottom w:val="single" w:color="CCCCCC" w:sz="1"/><w:right w:val="single" w:color="CCCCCC" w:sz="1"/></w:tcBorders></w:tcPr><w:p><w:r><w:t xml:space="preserve">Consulting firms, agencies</w:t></w:r></w:p></w:tc></w:tr></w:tbl><w:p><w:pPr><w:pStyle w:val="Heading2"/></w:pPr><w:r><w:t xml:space="preserve">Revenue Model</w:t></w:r></w:p><w:p><w:pPr><w:pStyle w:val="ListParagraph"/><w:numPr><w:ilvl w:val="0"/><w:numId w:val="2"/></w:numPr></w:pPr><w:r><w:t xml:space="preserve">Monthly recurring revenue (MRR)</w:t></w:r></w:p><w:p><w:pPr><w:pStyle w:val="ListParagraph"/><w:numPr><w:ilvl w:val="0"/><w:numId w:val="2"/></w:numPr></w:pPr><w:r><w:t xml:space="preserve">License key validation via Lemon Squeezy</w:t></w:r></w:p><w:p><w:pPr><w:pStyle w:val="ListParagraph"/><w:numPr><w:ilvl w:val="0"/><w:numId w:val="2"/></w:numPr></w:pPr><w:r><w:t xml:space="preserve">No usage-based billing (unlimited tool calls per license)</w:t></w:r></w:p><w:p><w:pPr><w:pStyle w:val="ListParagraph"/><w:numPr><w:ilvl w:val="0"/><w:numId w:val="2"/></w:numPr></w:pPr><w:r><w:t xml:space="preserve">No per-seat pricing (license is per organization)</w:t></w:r></w:p><w:p><w:r><w:br w:type="page"/></w:r></w:p><w:p><w:pPr><w:pStyle w:val="Heading1"/></w:pPr><w:r><w:t xml:space="preserve">4. Installation &amp; Usage</w:t></w:r></w:p><w:p><w:pPr><w:pStyle w:val="Heading2"/></w:pPr><w:r><w:t xml:space="preserve">Installation (&lt; 1 minute)</w:t></w:r></w:p><w:p><w:r><w:t xml:space="preserve">Add the MCP server to Claude Desktop by editing your configuration file:</w:t></w:r></w:p><w:p><w:pPr><w:spacing w:before="120" w:after="120"/></w:pPr><w:r><w:rPr><w:rFonts w:ascii="Courier New" w:cs="Courier New" w:eastAsia="Courier New" w:hAnsi="Courier New"/><w:sz w:val="20"/><w:szCs w:val="20"/></w:rPr><w:t xml:space="preserve">{
  &quot;mcpServers&quot;: {
    &quot;artefact-revenue&quot;: {
      &quot;command&quot;: &quot;uvx&quot;,
      &quot;args&quot;: [&quot;artefact-mcp&quot;],
      &quot;env&quot;: {
        &quot;HUBSPOT_API_KEY&quot;: &quot;pat-na1-xxxxxxxx&quot;
      }
    }
  }
}</w:t></w:r></w:p><w:p><w:pPr><w:pStyle w:val="Heading2"/></w:pPr><w:r><w:t xml:space="preserve">Usage Example</w:t></w:r></w:p><w:p><w:r><w:t xml:space="preserve">Simply ask your AI assistant:</w:t></w:r></w:p><w:p><w:pPr><w:spacing w:before="120" w:after="120"/></w:pPr><w:r><w:rPr><w:i/><w:iCs/><w:color w:val="1A5490"/></w:rPr><w:t xml:space="preserve">&quot;Run an RFM analysis on our HubSpot data and tell me which industries our Champions are in&quot;</w:t></w:r></w:p><w:p><w:r><w:br w:type="page"/></w:r></w:p><w:p><w:pPr><w:pStyle w:val="Heading1"/></w:pPr><w:r><w:t xml:space="preserve">5. Technical Architecture</w:t></w:r></w:p><w:tbl><w:tblPr><w:tblW w:type="auto" w:w="100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CellMar><w:top w:type="dxa" w:w="100"/><w:left w:type="dxa" w:w="180"/><w:bottom w:type="dxa" w:w="100"/><w:right w:type="dxa" w:w="180"/></w:tblCellMar></w:tblPr><w:tblGrid><w:gridCol w:w="3120"/><w:gridCol w:w="6240"/></w:tblGrid><w:tr><w:trPr><w:tblHeader/></w:trPr><w:tc><w:tcPr><w:tcW w:type="dxa" w:w="3120"/><w:tcBorders><w:top w:val="single" w:color="CCCCCC" w:sz="1"/><w:left w:val="single" w:color="CCCCCC" w:sz="1"/><w:bottom w:val="single" w:color="CCCCCC" w:sz="1"/><w:right w:val="single" w:color="CCCCCC" w:sz="1"/></w:tcBorders><w:shd w:fill="1A5490" w:val="clear"/></w:tcPr><w:p><w:pPr><w:jc w:val="center"/></w:pPr><w:r><w:rPr><w:b/><w:bCs/><w:color w:val="FFFFFF"/><w:sz w:val="22"/><w:szCs w:val="22"/></w:rPr><w:t xml:space="preserve">Layer</w:t></w:r></w:p></w:tc><w:tc><w:tcPr><w:tcW w:type="dxa" w:w="6240"/><w:tcBorders><w:top w:val="single" w:color="CCCCCC" w:sz="1"/><w:left w:val="single" w:color="CCCCCC" w:sz="1"/><w:bottom w:val="single" w:color="CCCCCC" w:sz="1"/><w:right w:val="single" w:color="CCCCCC" w:sz="1"/></w:tcBorders><w:shd w:fill="1A5490" w:val="clear"/></w:tcPr><w:p><w:pPr><w:jc w:val="center"/></w:pPr><w:r><w:rPr><w:b/><w:bCs/><w:color w:val="FFFFFF"/><w:sz w:val="22"/><w:szCs w:val="22"/></w:rPr><w:t xml:space="preserve">Technology</w:t></w:r></w:p></w:tc></w:tr><0/></w:tbl><w:p><w:pPr><w:pStyle w:val="Heading2"/></w:pPr><w:r><w:t xml:space="preserve">Key Features</w:t></w:r></w:p><w:p><w:pPr><w:pStyle w:val="ListParagraph"/><w:numPr><w:ilvl w:val="0"/><w:numId w:val="2"/></w:numPr></w:pPr><w:r><w:t xml:space="preserve">Python 3.10+ with FastMCP 2.x framework</w:t></w:r></w:p><w:p><w:pPr><w:pStyle w:val="ListParagraph"/><w:numPr><w:ilvl w:val="0"/><w:numId w:val="2"/></w:numPr></w:pPr><w:r><w:t xml:space="preserve">Distributed via PyPI (pip install artefact-mcp)</w:t></w:r></w:p><w:p><w:pPr><w:pStyle w:val="ListParagraph"/><w:numPr><w:ilvl w:val="0"/><w:numId w:val="2"/></w:numPr></w:pPr><w:r><w:t xml:space="preserve">Open-source methodology (BSL 1.1 license)</w:t></w:r></w:p><w:p><w:pPr><w:pStyle w:val="ListParagraph"/><w:numPr><w:ilvl w:val="0"/><w:numId w:val="2"/></w:numPr></w:pPr><w:r><w:t xml:space="preserve">Comprehensive test suite with 23/23 tests passing</w:t></w:r></w:p><w:p><w:pPr><w:pStyle w:val="ListParagraph"/><w:numPr><w:ilvl w:val="0"/><w:numId w:val="2"/></w:numPr></w:pPr><w:r><w:t xml:space="preserve">Security-validated configuration loading</w:t></w:r></w:p><w:p><w:r><w:br w:type="page"/></w:r></w:p><w:p><w:pPr><w:pStyle w:val="Heading1"/></w:pPr><w:r><w:t xml:space="preserve">6. Competitive Landscape</w:t></w:r></w:p><w:tbl><w:tblPr><w:tblW w:type="auto" w:w="100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CellMar><w:top w:type="dxa" w:w="100"/><w:left w:type="dxa" w:w="180"/><w:bottom w:type="dxa" w:w="100"/><w:right w:type="dxa" w:w="180"/></w:tblCellMar></w:tblPr><w:tblGrid><w:gridCol w:w="3120"/><w:gridCol w:w="3120"/><w:gridCol w:w="3120"/></w:tblGrid><w:tr><w:trPr><w:tblHeader/></w:trPr><0/></w:tr><w:tr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HubSpot Official MCP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Generic CRUD access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Adds ICP Triangulation Framework</w:t></w:r></w:p></w:tc></w:tr><w:tr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Manual Excel RFM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4-6 hours per analysis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Instant, automated, repeatable</w:t></w:r></w:p></w:tc></w:tr><w:tr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rPr><w:b/><w:bCs/></w:rPr><w:t xml:space="preserve">Consulting Engagement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$5K-$20K, 2-4 weeks</w:t></w:r></w:p></w:tc><w:tc><w:tcPr><w:tcW w:type="dxa" w:w="3120"/><w:tcBorders><w:top w:val="single" w:color="CCCCCC" w:sz="1"/><w:left w:val="single" w:color="CCCCCC" w:sz="1"/><w:bottom w:val="single" w:color="CCCCCC" w:sz="1"/><w:right w:val="single" w:color="CCCCCC" w:sz="1"/></w:tcBorders></w:tcPr><w:p><w:r><w:t xml:space="preserve">$149/mo, instant delivery</w:t></w:r></w:p></w:tc></w:tr></w:tbl><w:p><w:pPr><w:pStyle w:val="Heading2"/></w:pPr><w:r><w:t xml:space="preserve">Competitive Moat</w:t></w:r></w:p><w:p><w:pPr><w:pStyle w:val="ListParagraph"/><w:numPr><w:ilvl w:val="0"/><w:numId w:val="2"/></w:numPr></w:pPr><w:r><w:rPr><w:b/><w:bCs/></w:rPr><w:t xml:space="preserve">Proprietary methodology: </w:t></w:r><w:r><w:t xml:space="preserve">ICP Triangulation Framework built from real consulting engagements</w:t></w:r></w:p><w:p><w:pPr><w:pStyle w:val="ListParagraph"/><w:numPr><w:ilvl w:val="0"/><w:numId w:val="2"/></w:numPr></w:pPr><w:r><w:rPr><w:b/><w:bCs/></w:rPr><w:t xml:space="preserve">First-mover advantage: </w:t></w:r><w:r><w:t xml:space="preserve">First MCP server with three-dimensional ICP scoring</w:t></w:r></w:p><w:p><w:pPr><w:pStyle w:val="ListParagraph"/><w:numPr><w:ilvl w:val="0"/><w:numId w:val="2"/></w:numPr></w:pPr><w:r><w:rPr><w:b/><w:bCs/></w:rPr><w:t xml:space="preserve">Open-source trust: </w:t></w:r><w:r><w:t xml:space="preserve">Transparent code (BSL 1.1), users can audit the logic</w:t></w:r></w:p><w:p><w:pPr><w:pStyle w:val="ListParagraph"/><w:numPr><w:ilvl w:val="0"/><w:numId w:val="2"/></w:numPr></w:pPr><w:r><w:rPr><w:b/><w:bCs/></w:rPr><w:t xml:space="preserve">AI-native distribution: </w:t></w:r><w:r><w:t xml:space="preserve">MCP registries, AI assistant integration</w:t></w:r></w:p><w:p><w:r><w:br w:type="page"/></w:r></w:p><w:p><w:pPr><w:pStyle w:val="Heading1"/></w:pPr><w:r><w:t xml:space="preserve">7. Distribution Channels</w:t></w:r></w:p><w:p><w:pPr><w:pStyle w:val="Heading2"/></w:pPr><w:r><w:t xml:space="preserve">Primary Channels</w:t></w:r></w:p><w:p><w:pPr><w:pStyle w:val="ListParagraph"/><w:numPr><w:ilvl w:val="0"/><w:numId w:val="2"/></w:numPr></w:pPr><w:r><w:rPr><w:b/><w:bCs/></w:rPr><w:t xml:space="preserve">MCP Registries: </w:t></w:r><w:r><w:t xml:space="preserve">Smithery.ai, Glama.ai, PulseMCP</w:t></w:r></w:p><w:p><w:pPr><w:pStyle w:val="ListParagraph"/><w:numPr><w:ilvl w:val="0"/><w:numId w:val="2"/></w:numPr></w:pPr><w:r><w:rPr><w:b/><w:bCs/></w:rPr><w:t xml:space="preserve">GitHub: </w:t></w:r><w:r><w:t xml:space="preserve">https://github.com/alexboissAV/artefact-mcp-server</w:t></w:r></w:p><w:p><w:pPr><w:pStyle w:val="ListParagraph"/><w:numPr><w:ilvl w:val="0"/><w:numId w:val="2"/></w:numPr></w:pPr><w:r><w:rPr><w:b/><w:bCs/></w:rPr><w:t xml:space="preserve">PyPI: </w:t></w:r><w:r><w:t xml:space="preserve">https://pypi.org/project/artefact-mcp/</w:t></w:r></w:p><w:p><w:pPr><w:pStyle w:val="ListParagraph"/><w:numPr><w:ilvl w:val="0"/><w:numId w:val="2"/></w:numPr></w:pPr><w:r><w:rPr><w:b/><w:bCs/></w:rPr><w:t xml:space="preserve">HubSpot App Marketplace: </w:t></w:r><w:r><w:t xml:space="preserve">Planned for Q3 2026 (requires OAuth integration)</w:t></w:r></w:p><w:p><w:pPr><w:pStyle w:val="Heading2"/></w:pPr><w:r><w:t xml:space="preserve">Target Metrics (End of 2026)</w:t></w:r></w:p><w:tbl><w:tblPr><w:tblW w:type="auto" w:w="100"/><w:tblBorders><w:top w:val="single" w:color="auto" w:sz="4"/><w:left w:val="single" w:color="auto" w:sz="4"/><w:bottom w:val="single" w:color="auto" w:sz="4"/><w:right w:val="single" w:color="auto" w:sz="4"/><w:insideH w:val="single" w:color="auto" w:sz="4"/><w:insideV w:val="single" w:color="auto" w:sz="4"/></w:tblBorders><w:tblCellMar><w:top w:type="dxa" w:w="100"/><w:left w:type="dxa" w:w="180"/><w:bottom w:type="dxa" w:w="100"/><w:right w:type="dxa" w:w="180"/></w:tblCellMar></w:tblPr><w:tblGrid><w:gridCol w:w="4680"/><w:gridCol w:w="4680"/></w:tblGrid><w:tr><w:trPr><w:tblHeader/></w:trPr><w:tc><w:tcPr><w:tcW w:type="dxa" w:w="4680"/><w:tcBorders><w:top w:val="single" w:color="CCCCCC" w:sz="1"/><w:left w:val="single" w:color="CCCCCC" w:sz="1"/><w:bottom w:val="single" w:color="CCCCCC" w:sz="1"/><w:right w:val="single" w:color="CCCCCC" w:sz="1"/></w:tcBorders><w:shd w:fill="1A5490" w:val="clear"/></w:tcPr><w:p><w:pPr><w:jc w:val="center"/></w:pPr><w:r><w:rPr><w:b/><w:bCs/><w:color w:val="FFFFFF"/><w:sz w:val="22"/><w:szCs w:val="22"/></w:rPr><w:t xml:space="preserve">Metric</w:t></w:r></w:p></w:tc><w:tc><w:tcPr><w:tcW w:type="dxa" w:w="4680"/><w:tcBorders><w:top w:val="single" w:color="CCCCCC" w:sz="1"/><w:left w:val="single" w:color="CCCCCC" w:sz="1"/><w:bottom w:val="single" w:color="CCCCCC" w:sz="1"/><w:right w:val="single" w:color="CCCCCC" w:sz="1"/></w:tcBorders><w:shd w:fill="1A5490" w:val="clear"/></w:tcPr><w:p><w:pPr><w:jc w:val="center"/></w:pPr><w:r><w:rPr><w:b/><w:bCs/><w:color w:val="FFFFFF"/><w:sz w:val="22"/><w:szCs w:val="22"/></w:rPr><w:t xml:space="preserve">Target (End of 2026)</w:t></w:r></w:p></w:tc></w:tr><0/></w:tbl><w:p><w:r><w:br w:type="page"/></w:r></w:p><w:p><w:pPr><w:pStyle w:val="Heading1"/></w:pPr><w:r><w:t xml:space="preserve">8. Contact Information</w:t></w:r></w:p><w:p><w:r><w:rPr><w:b/><w:bCs/></w:rPr><w:t xml:space="preserve">Product Owner: </w:t></w:r><w:r><w:t xml:space="preserve">Alex Boissonneault</w:t></w:r></w:p><w:p><w:r><w:rPr><w:b/><w:bCs/></w:rPr><w:t xml:space="preserve">Company: </w:t></w:r><w:r><w:t xml:space="preserve">Artefact Ventures</w:t></w:r></w:p><w:p><w:r><w:rPr><w:b/><w:bCs/></w:rPr><w:t xml:space="preserve">Email: </w:t></w:r><w:r><w:t xml:space="preserve">alex@artefactventures.com</w:t></w:r></w:p><w:p><w:r><w:rPr><w:b/><w:bCs/></w:rPr><w:t xml:space="preserve">Website: </w:t></w:r><w:r><w:t xml:space="preserve">https://artefactventures.com</w:t></w:r></w:p><w:p><w:r><w:rPr><w:b/><w:bCs/></w:rPr><w:t xml:space="preserve">Purchase: </w:t></w:r><w:r><w:t xml:space="preserve">https://artefactventures.lemonsqueezy.com</w:t></w:r></w:p><w:p><w:pPr><w:spacing w:before="360"/></w:pPr><w:r><w:rPr><w:b/><w:bCs/></w:rPr><w:t xml:space="preserve">Document Version: </w:t></w:r><w:r><w:t xml:space="preserve">1.0</w:t></w:r></w:p><w:p><w:r><w:rPr><w:b/><w:bCs/></w:rPr><w:t xml:space="preserve">Last Updated: </w:t></w:r><w:r><w:t xml:space="preserve">February 11, 2026</w:t></w:r></w:p><w:p><w:r><w:rPr><w:b/><w:bCs/></w:rPr><w:t xml:space="preserve">Product Version: </w:t></w:r><w:r><w:t xml:space="preserve">0.2.3</w:t></w:r></w:p><w:sectPr><w:pgSz w:w="11906" w:h="16838" w:orient="portrait"/><w:pgMar w:top="1440" w:right="1440" w:bottom="1440" w:left="144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240" w:after="240"/>
      <w:jc w:val="center"/>
    </w:pPr>
    <w:rPr>
      <w:rFonts w:ascii="Arial" w:cs="Arial" w:eastAsia="Arial" w:hAnsi="Arial"/>
      <w:b/>
      <w:bCs/>
      <w:color w:val="1A1A1A"/>
      <w:sz w:val="52"/>
      <w:szCs w:val="52"/>
    </w:rPr>
  </w:style>
  <w:style w:type="paragraph" w:styleId="Subtitle">
    <w:name w:val="Subtitle"/>
    <w:basedOn w:val="Normal"/>
    <w:pPr>
      <w:spacing w:after="480"/>
      <w:jc w:val="center"/>
    </w:pPr>
    <w:rPr>
      <w:rFonts w:ascii="Arial" w:cs="Arial" w:eastAsia="Arial" w:hAnsi="Arial"/>
      <w:color w:val="4A4A4A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360" w:after="18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40"/>
      <w:outlineLvl w:val="1"/>
    </w:pPr>
    <w:rPr>
      <w:rFonts w:ascii="Arial" w:cs="Arial" w:eastAsia="Arial" w:hAnsi="Arial"/>
      <w:b/>
      <w:bCs/>
      <w:color w:val="2A2A2A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3A3A3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2026-02-11T11:03:24.518Z</dcterms:created>
  <dcterms:modified xsi:type="dcterms:W3CDTF">2026-02-11T11:03:24.519Z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