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TechVision Inc — Annual Report 2024</w:t>
      </w:r>
    </w:p>
    <w:p>
      <w:r>
        <w:t>Confidential — For Investor Distribution Only</w:t>
      </w:r>
    </w:p>
    <w:p>
      <w:r>
        <w:t>Fiscal Year Ended December 31, 2024</w:t>
      </w:r>
    </w:p>
    <w:p/>
    <w:p>
      <w:pPr>
        <w:pStyle w:val="Heading1"/>
      </w:pPr>
      <w:r>
        <w:t>1. Executive Summary</w:t>
      </w:r>
    </w:p>
    <w:p>
      <w:r>
        <w:t>TechVision Inc delivered record revenue of $1.24 billion in FY2024, representing 34% year-over-year growth. Net income reached $187 million (15.1% margin), up from $98 million in FY2023. The company expanded its customer base from 4,200 to 6,800 enterprise accounts globally.</w:t>
      </w:r>
    </w:p>
    <w:p>
      <w:r>
        <w:t>Key highlights for FY2024:</w:t>
      </w:r>
    </w:p>
    <w:p>
      <w:pPr>
        <w:pStyle w:val="ListBullet"/>
      </w:pPr>
      <w:r>
        <w:t>Revenue: $1.24B (+34% YoY)</w:t>
      </w:r>
    </w:p>
    <w:p>
      <w:pPr>
        <w:pStyle w:val="ListBullet"/>
      </w:pPr>
      <w:r>
        <w:t>Net Income: $187M (15.1% margin)</w:t>
      </w:r>
    </w:p>
    <w:p>
      <w:pPr>
        <w:pStyle w:val="ListBullet"/>
      </w:pPr>
      <w:r>
        <w:t>Enterprise customers: 6,800 (+62% YoY)</w:t>
      </w:r>
    </w:p>
    <w:p>
      <w:pPr>
        <w:pStyle w:val="ListBullet"/>
      </w:pPr>
      <w:r>
        <w:t>Employees: 3,415 (+28% YoY)</w:t>
      </w:r>
    </w:p>
    <w:p>
      <w:pPr>
        <w:pStyle w:val="ListBullet"/>
      </w:pPr>
      <w:r>
        <w:t>R&amp;D investment: $210M (16.9% of revenue)</w:t>
      </w:r>
    </w:p>
    <w:p>
      <w:pPr>
        <w:pStyle w:val="ListBullet"/>
      </w:pPr>
      <w:r>
        <w:t>New markets entered: Japan, Brazil, UAE</w:t>
      </w:r>
    </w:p>
    <w:p>
      <w:pPr>
        <w:pStyle w:val="Heading1"/>
      </w:pPr>
      <w:r>
        <w:t>2. Financial Performance</w:t>
      </w:r>
    </w:p>
    <w:p>
      <w:pPr>
        <w:pStyle w:val="Heading2"/>
      </w:pPr>
      <w:r>
        <w:t>2.1 Revenue Breakdown by Segment</w:t>
      </w:r>
    </w:p>
    <w:p>
      <w:r>
        <w:t>Revenue grew across all three business segments, with cloud services becoming the largest contributor for the first time in company history.</w:t>
      </w:r>
    </w:p>
    <w:p>
      <w:r>
        <w:rPr>
          <w:i/>
        </w:rPr>
        <w:t>Table: Revenue by Business Segment FY2023 vs FY2024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Segment</w:t>
            </w:r>
          </w:p>
        </w:tc>
        <w:tc>
          <w:tcPr>
            <w:tcW w:type="dxa" w:w="2160"/>
          </w:tcPr>
          <w:p>
            <w:r>
              <w:rPr>
                <w:b/>
              </w:rPr>
              <w:t>FY2024 Revenue ($M)</w:t>
            </w:r>
          </w:p>
        </w:tc>
        <w:tc>
          <w:tcPr>
            <w:tcW w:type="dxa" w:w="2160"/>
          </w:tcPr>
          <w:p>
            <w:r>
              <w:rPr>
                <w:b/>
              </w:rPr>
              <w:t>FY2023 Revenue ($M)</w:t>
            </w:r>
          </w:p>
        </w:tc>
        <w:tc>
          <w:tcPr>
            <w:tcW w:type="dxa" w:w="2160"/>
          </w:tcPr>
          <w:p>
            <w:r>
              <w:rPr>
                <w:b/>
              </w:rPr>
              <w:t>Growth %</w:t>
            </w:r>
          </w:p>
        </w:tc>
      </w:tr>
      <w:tr>
        <w:tc>
          <w:tcPr>
            <w:tcW w:type="dxa" w:w="2160"/>
          </w:tcPr>
          <w:p>
            <w:r>
              <w:t>Cloud Services</w:t>
            </w:r>
          </w:p>
        </w:tc>
        <w:tc>
          <w:tcPr>
            <w:tcW w:type="dxa" w:w="2160"/>
          </w:tcPr>
          <w:p>
            <w:r>
              <w:t>621</w:t>
            </w:r>
          </w:p>
        </w:tc>
        <w:tc>
          <w:tcPr>
            <w:tcW w:type="dxa" w:w="2160"/>
          </w:tcPr>
          <w:p>
            <w:r>
              <w:t>398</w:t>
            </w:r>
          </w:p>
        </w:tc>
        <w:tc>
          <w:tcPr>
            <w:tcW w:type="dxa" w:w="2160"/>
          </w:tcPr>
          <w:p>
            <w:r>
              <w:t>+56.0%</w:t>
            </w:r>
          </w:p>
        </w:tc>
      </w:tr>
      <w:tr>
        <w:tc>
          <w:tcPr>
            <w:tcW w:type="dxa" w:w="2160"/>
          </w:tcPr>
          <w:p>
            <w:r>
              <w:t>Enterprise Licenses</w:t>
            </w:r>
          </w:p>
        </w:tc>
        <w:tc>
          <w:tcPr>
            <w:tcW w:type="dxa" w:w="2160"/>
          </w:tcPr>
          <w:p>
            <w:r>
              <w:t>412</w:t>
            </w:r>
          </w:p>
        </w:tc>
        <w:tc>
          <w:tcPr>
            <w:tcW w:type="dxa" w:w="2160"/>
          </w:tcPr>
          <w:p>
            <w:r>
              <w:t>372</w:t>
            </w:r>
          </w:p>
        </w:tc>
        <w:tc>
          <w:tcPr>
            <w:tcW w:type="dxa" w:w="2160"/>
          </w:tcPr>
          <w:p>
            <w:r>
              <w:t>+10.8%</w:t>
            </w:r>
          </w:p>
        </w:tc>
      </w:tr>
      <w:tr>
        <w:tc>
          <w:tcPr>
            <w:tcW w:type="dxa" w:w="2160"/>
          </w:tcPr>
          <w:p>
            <w:r>
              <w:t>Professional Services</w:t>
            </w:r>
          </w:p>
        </w:tc>
        <w:tc>
          <w:tcPr>
            <w:tcW w:type="dxa" w:w="2160"/>
          </w:tcPr>
          <w:p>
            <w:r>
              <w:t>207</w:t>
            </w:r>
          </w:p>
        </w:tc>
        <w:tc>
          <w:tcPr>
            <w:tcW w:type="dxa" w:w="2160"/>
          </w:tcPr>
          <w:p>
            <w:r>
              <w:t>156</w:t>
            </w:r>
          </w:p>
        </w:tc>
        <w:tc>
          <w:tcPr>
            <w:tcW w:type="dxa" w:w="2160"/>
          </w:tcPr>
          <w:p>
            <w:r>
              <w:t>+32.7%</w:t>
            </w:r>
          </w:p>
        </w:tc>
      </w:tr>
      <w:tr>
        <w:tc>
          <w:tcPr>
            <w:tcW w:type="dxa" w:w="2160"/>
          </w:tcPr>
          <w:p>
            <w:r>
              <w:t>TOTAL</w:t>
            </w:r>
          </w:p>
        </w:tc>
        <w:tc>
          <w:tcPr>
            <w:tcW w:type="dxa" w:w="2160"/>
          </w:tcPr>
          <w:p>
            <w:r>
              <w:t>1,240</w:t>
            </w:r>
          </w:p>
        </w:tc>
        <w:tc>
          <w:tcPr>
            <w:tcW w:type="dxa" w:w="2160"/>
          </w:tcPr>
          <w:p>
            <w:r>
              <w:t>926</w:t>
            </w:r>
          </w:p>
        </w:tc>
        <w:tc>
          <w:tcPr>
            <w:tcW w:type="dxa" w:w="2160"/>
          </w:tcPr>
          <w:p>
            <w:r>
              <w:t>+34.0%</w:t>
            </w:r>
          </w:p>
        </w:tc>
      </w:tr>
    </w:tbl>
    <w:p/>
    <w:p>
      <w:pPr>
        <w:pStyle w:val="Heading2"/>
      </w:pPr>
      <w:r>
        <w:t>2.2 Profitability Metrics</w:t>
      </w:r>
    </w:p>
    <w:p>
      <w:r>
        <w:t>Gross margin improved from 68.2% to 71.4%, driven by cloud segment scale efficiencies. Operating expenses were tightly controlled at 56.3% of revenue versus 61.7% in the prior year.</w:t>
      </w:r>
    </w:p>
    <w:p>
      <w:r>
        <w:rPr>
          <w:i/>
        </w:rPr>
        <w:t>Table: Key Profitability Metrics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Metric</w:t>
            </w:r>
          </w:p>
        </w:tc>
        <w:tc>
          <w:tcPr>
            <w:tcW w:type="dxa" w:w="2160"/>
          </w:tcPr>
          <w:p>
            <w:r>
              <w:rPr>
                <w:b/>
              </w:rPr>
              <w:t>FY2024</w:t>
            </w:r>
          </w:p>
        </w:tc>
        <w:tc>
          <w:tcPr>
            <w:tcW w:type="dxa" w:w="2160"/>
          </w:tcPr>
          <w:p>
            <w:r>
              <w:rPr>
                <w:b/>
              </w:rPr>
              <w:t>FY2023</w:t>
            </w:r>
          </w:p>
        </w:tc>
        <w:tc>
          <w:tcPr>
            <w:tcW w:type="dxa" w:w="2160"/>
          </w:tcPr>
          <w:p>
            <w:r>
              <w:rPr>
                <w:b/>
              </w:rPr>
              <w:t>Change</w:t>
            </w:r>
          </w:p>
        </w:tc>
      </w:tr>
      <w:tr>
        <w:tc>
          <w:tcPr>
            <w:tcW w:type="dxa" w:w="2160"/>
          </w:tcPr>
          <w:p>
            <w:r>
              <w:t>Gross Margin</w:t>
            </w:r>
          </w:p>
        </w:tc>
        <w:tc>
          <w:tcPr>
            <w:tcW w:type="dxa" w:w="2160"/>
          </w:tcPr>
          <w:p>
            <w:r>
              <w:t>71.4%</w:t>
            </w:r>
          </w:p>
        </w:tc>
        <w:tc>
          <w:tcPr>
            <w:tcW w:type="dxa" w:w="2160"/>
          </w:tcPr>
          <w:p>
            <w:r>
              <w:t>68.2%</w:t>
            </w:r>
          </w:p>
        </w:tc>
        <w:tc>
          <w:tcPr>
            <w:tcW w:type="dxa" w:w="2160"/>
          </w:tcPr>
          <w:p>
            <w:r>
              <w:t>+3.2pp</w:t>
            </w:r>
          </w:p>
        </w:tc>
      </w:tr>
      <w:tr>
        <w:tc>
          <w:tcPr>
            <w:tcW w:type="dxa" w:w="2160"/>
          </w:tcPr>
          <w:p>
            <w:r>
              <w:t>Operating Margin</w:t>
            </w:r>
          </w:p>
        </w:tc>
        <w:tc>
          <w:tcPr>
            <w:tcW w:type="dxa" w:w="2160"/>
          </w:tcPr>
          <w:p>
            <w:r>
              <w:t>18.7%</w:t>
            </w:r>
          </w:p>
        </w:tc>
        <w:tc>
          <w:tcPr>
            <w:tcW w:type="dxa" w:w="2160"/>
          </w:tcPr>
          <w:p>
            <w:r>
              <w:t>12.4%</w:t>
            </w:r>
          </w:p>
        </w:tc>
        <w:tc>
          <w:tcPr>
            <w:tcW w:type="dxa" w:w="2160"/>
          </w:tcPr>
          <w:p>
            <w:r>
              <w:t>+6.3pp</w:t>
            </w:r>
          </w:p>
        </w:tc>
      </w:tr>
      <w:tr>
        <w:tc>
          <w:tcPr>
            <w:tcW w:type="dxa" w:w="2160"/>
          </w:tcPr>
          <w:p>
            <w:r>
              <w:t>Net Margin</w:t>
            </w:r>
          </w:p>
        </w:tc>
        <w:tc>
          <w:tcPr>
            <w:tcW w:type="dxa" w:w="2160"/>
          </w:tcPr>
          <w:p>
            <w:r>
              <w:t>15.1%</w:t>
            </w:r>
          </w:p>
        </w:tc>
        <w:tc>
          <w:tcPr>
            <w:tcW w:type="dxa" w:w="2160"/>
          </w:tcPr>
          <w:p>
            <w:r>
              <w:t>10.6%</w:t>
            </w:r>
          </w:p>
        </w:tc>
        <w:tc>
          <w:tcPr>
            <w:tcW w:type="dxa" w:w="2160"/>
          </w:tcPr>
          <w:p>
            <w:r>
              <w:t>+4.5pp</w:t>
            </w:r>
          </w:p>
        </w:tc>
      </w:tr>
      <w:tr>
        <w:tc>
          <w:tcPr>
            <w:tcW w:type="dxa" w:w="2160"/>
          </w:tcPr>
          <w:p>
            <w:r>
              <w:t>EBITDA</w:t>
            </w:r>
          </w:p>
        </w:tc>
        <w:tc>
          <w:tcPr>
            <w:tcW w:type="dxa" w:w="2160"/>
          </w:tcPr>
          <w:p>
            <w:r>
              <w:t>$268M</w:t>
            </w:r>
          </w:p>
        </w:tc>
        <w:tc>
          <w:tcPr>
            <w:tcW w:type="dxa" w:w="2160"/>
          </w:tcPr>
          <w:p>
            <w:r>
              <w:t>$152M</w:t>
            </w:r>
          </w:p>
        </w:tc>
        <w:tc>
          <w:tcPr>
            <w:tcW w:type="dxa" w:w="2160"/>
          </w:tcPr>
          <w:p>
            <w:r>
              <w:t>+76.3%</w:t>
            </w:r>
          </w:p>
        </w:tc>
      </w:tr>
      <w:tr>
        <w:tc>
          <w:tcPr>
            <w:tcW w:type="dxa" w:w="2160"/>
          </w:tcPr>
          <w:p>
            <w:r>
              <w:t>Free Cash Flow</w:t>
            </w:r>
          </w:p>
        </w:tc>
        <w:tc>
          <w:tcPr>
            <w:tcW w:type="dxa" w:w="2160"/>
          </w:tcPr>
          <w:p>
            <w:r>
              <w:t>$201M</w:t>
            </w:r>
          </w:p>
        </w:tc>
        <w:tc>
          <w:tcPr>
            <w:tcW w:type="dxa" w:w="2160"/>
          </w:tcPr>
          <w:p>
            <w:r>
              <w:t>$89M</w:t>
            </w:r>
          </w:p>
        </w:tc>
        <w:tc>
          <w:tcPr>
            <w:tcW w:type="dxa" w:w="2160"/>
          </w:tcPr>
          <w:p>
            <w:r>
              <w:t>+125.8%</w:t>
            </w:r>
          </w:p>
        </w:tc>
      </w:tr>
    </w:tbl>
    <w:p/>
    <w:p>
      <w:pPr>
        <w:pStyle w:val="Heading1"/>
      </w:pPr>
      <w:r>
        <w:t>3. Product &amp; Technology</w:t>
      </w:r>
    </w:p>
    <w:p>
      <w:pPr>
        <w:pStyle w:val="Heading2"/>
      </w:pPr>
      <w:r>
        <w:t>3.1 Product Roadmap 2025</w:t>
      </w:r>
    </w:p>
    <w:p>
      <w:r>
        <w:t>The following initiatives are planned for release in 2025, with estimated development costs and target market segments.</w:t>
      </w:r>
    </w:p>
    <w:p>
      <w:r>
        <w:rPr>
          <w:i/>
        </w:rPr>
        <w:t>Table: Product Roadmap 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Initiative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Q Target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Est. Cost ($M)</w:t>
            </w:r>
          </w:p>
        </w:tc>
        <w:tc>
          <w:tcPr>
            <w:tcW w:type="dxa" w:w="1728"/>
          </w:tcPr>
          <w:p>
            <w:r>
              <w:rPr>
                <w:b/>
              </w:rPr>
              <w:t>Market Segment</w:t>
            </w:r>
          </w:p>
        </w:tc>
        <w:tc>
          <w:tcPr>
            <w:tcW w:type="dxa" w:w="1728"/>
          </w:tcPr>
          <w:p>
            <w:r>
              <w:rPr>
                <w:b/>
              </w:rPr>
              <w:t>Status</w:t>
            </w:r>
          </w:p>
        </w:tc>
      </w:tr>
      <w:tr>
        <w:tc>
          <w:tcPr>
            <w:tcW w:type="dxa" w:w="1728"/>
          </w:tcPr>
          <w:p>
            <w:r>
              <w:t>AI-Powered Analytics Engine</w:t>
            </w:r>
          </w:p>
        </w:tc>
        <w:tc>
          <w:tcPr>
            <w:tcW w:type="dxa" w:w="1728"/>
          </w:tcPr>
          <w:p>
            <w:r>
              <w:t>Q1 2025</w:t>
            </w:r>
          </w:p>
        </w:tc>
        <w:tc>
          <w:tcPr>
            <w:tcW w:type="dxa" w:w="1728"/>
          </w:tcPr>
          <w:p>
            <w:r>
              <w:t>18</w:t>
            </w:r>
          </w:p>
        </w:tc>
        <w:tc>
          <w:tcPr>
            <w:tcW w:type="dxa" w:w="1728"/>
          </w:tcPr>
          <w:p>
            <w:r>
              <w:t>Enterprise</w:t>
            </w:r>
          </w:p>
        </w:tc>
        <w:tc>
          <w:tcPr>
            <w:tcW w:type="dxa" w:w="1728"/>
          </w:tcPr>
          <w:p>
            <w:r>
              <w:t>In Development</w:t>
            </w:r>
          </w:p>
        </w:tc>
      </w:tr>
      <w:tr>
        <w:tc>
          <w:tcPr>
            <w:tcW w:type="dxa" w:w="1728"/>
          </w:tcPr>
          <w:p>
            <w:r>
              <w:t>Multi-Cloud Orchestrator</w:t>
            </w:r>
          </w:p>
        </w:tc>
        <w:tc>
          <w:tcPr>
            <w:tcW w:type="dxa" w:w="1728"/>
          </w:tcPr>
          <w:p>
            <w:r>
              <w:t>Q2 2025</w:t>
            </w:r>
          </w:p>
        </w:tc>
        <w:tc>
          <w:tcPr>
            <w:tcW w:type="dxa" w:w="1728"/>
          </w:tcPr>
          <w:p>
            <w:r>
              <w:t>24</w:t>
            </w:r>
          </w:p>
        </w:tc>
        <w:tc>
          <w:tcPr>
            <w:tcW w:type="dxa" w:w="1728"/>
          </w:tcPr>
          <w:p>
            <w:r>
              <w:t>Mid-Market</w:t>
            </w:r>
          </w:p>
        </w:tc>
        <w:tc>
          <w:tcPr>
            <w:tcW w:type="dxa" w:w="1728"/>
          </w:tcPr>
          <w:p>
            <w:r>
              <w:t>Planning</w:t>
            </w:r>
          </w:p>
        </w:tc>
      </w:tr>
      <w:tr>
        <w:tc>
          <w:tcPr>
            <w:tcW w:type="dxa" w:w="1728"/>
          </w:tcPr>
          <w:p>
            <w:r>
              <w:t>Edge Computing SDK</w:t>
            </w:r>
          </w:p>
        </w:tc>
        <w:tc>
          <w:tcPr>
            <w:tcW w:type="dxa" w:w="1728"/>
          </w:tcPr>
          <w:p>
            <w:r>
              <w:t>Q2 2025</w:t>
            </w:r>
          </w:p>
        </w:tc>
        <w:tc>
          <w:tcPr>
            <w:tcW w:type="dxa" w:w="1728"/>
          </w:tcPr>
          <w:p>
            <w:r>
              <w:t>11</w:t>
            </w:r>
          </w:p>
        </w:tc>
        <w:tc>
          <w:tcPr>
            <w:tcW w:type="dxa" w:w="1728"/>
          </w:tcPr>
          <w:p>
            <w:r>
              <w:t>Developer</w:t>
            </w:r>
          </w:p>
        </w:tc>
        <w:tc>
          <w:tcPr>
            <w:tcW w:type="dxa" w:w="1728"/>
          </w:tcPr>
          <w:p>
            <w:r>
              <w:t>In Development</w:t>
            </w:r>
          </w:p>
        </w:tc>
      </w:tr>
      <w:tr>
        <w:tc>
          <w:tcPr>
            <w:tcW w:type="dxa" w:w="1728"/>
          </w:tcPr>
          <w:p>
            <w:r>
              <w:t>Zero-Trust Security Suite</w:t>
            </w:r>
          </w:p>
        </w:tc>
        <w:tc>
          <w:tcPr>
            <w:tcW w:type="dxa" w:w="1728"/>
          </w:tcPr>
          <w:p>
            <w:r>
              <w:t>Q3 2025</w:t>
            </w:r>
          </w:p>
        </w:tc>
        <w:tc>
          <w:tcPr>
            <w:tcW w:type="dxa" w:w="1728"/>
          </w:tcPr>
          <w:p>
            <w:r>
              <w:t>32</w:t>
            </w:r>
          </w:p>
        </w:tc>
        <w:tc>
          <w:tcPr>
            <w:tcW w:type="dxa" w:w="1728"/>
          </w:tcPr>
          <w:p>
            <w:r>
              <w:t>Enterprise</w:t>
            </w:r>
          </w:p>
        </w:tc>
        <w:tc>
          <w:tcPr>
            <w:tcW w:type="dxa" w:w="1728"/>
          </w:tcPr>
          <w:p>
            <w:r>
              <w:t>Design Phase</w:t>
            </w:r>
          </w:p>
        </w:tc>
      </w:tr>
      <w:tr>
        <w:tc>
          <w:tcPr>
            <w:tcW w:type="dxa" w:w="1728"/>
          </w:tcPr>
          <w:p>
            <w:r>
              <w:t>Mobile Workforce Platform</w:t>
            </w:r>
          </w:p>
        </w:tc>
        <w:tc>
          <w:tcPr>
            <w:tcW w:type="dxa" w:w="1728"/>
          </w:tcPr>
          <w:p>
            <w:r>
              <w:t>Q4 2025</w:t>
            </w:r>
          </w:p>
        </w:tc>
        <w:tc>
          <w:tcPr>
            <w:tcW w:type="dxa" w:w="1728"/>
          </w:tcPr>
          <w:p>
            <w:r>
              <w:t>15</w:t>
            </w:r>
          </w:p>
        </w:tc>
        <w:tc>
          <w:tcPr>
            <w:tcW w:type="dxa" w:w="1728"/>
          </w:tcPr>
          <w:p>
            <w:r>
              <w:t>SMB</w:t>
            </w:r>
          </w:p>
        </w:tc>
        <w:tc>
          <w:tcPr>
            <w:tcW w:type="dxa" w:w="1728"/>
          </w:tcPr>
          <w:p>
            <w:r>
              <w:t>Research</w:t>
            </w:r>
          </w:p>
        </w:tc>
      </w:tr>
    </w:tbl>
    <w:p/>
    <w:p>
      <w:pPr>
        <w:pStyle w:val="Heading2"/>
      </w:pPr>
      <w:r>
        <w:t>3.2 Technology Infrastructure</w:t>
      </w:r>
    </w:p>
    <w:p>
      <w:r>
        <w:t>TechVision operates across 12 data centres in 8 countries, with 99.97% uptime SLA. The platform processes 4.2 trillion API calls per month, up from 1.8 trillion in 2023. Total infrastructure spend was $142M in 2024.</w:t>
      </w:r>
    </w:p>
    <w:p>
      <w:r>
        <w:t>[Figure 1: Global Infrastructure Map — 12 data centres across North America, Europe, and Asia Pacific, interconnected via private fibre backbone with sub-20ms latency between all nodes. Each DC runs N+2 redundancy.]</w:t>
      </w:r>
    </w:p>
    <w:p>
      <w:pPr>
        <w:pStyle w:val="Heading1"/>
      </w:pPr>
      <w:r>
        <w:t>4. Risk Factors</w:t>
      </w:r>
    </w:p>
    <w:p>
      <w:pPr>
        <w:pStyle w:val="Heading2"/>
      </w:pPr>
      <w:r>
        <w:t>4.1 Risk Assessment Matrix</w:t>
      </w:r>
    </w:p>
    <w:p>
      <w:r>
        <w:rPr>
          <w:i/>
        </w:rPr>
        <w:t>Table: Risk Assessment Matrix 2024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Risk</w:t>
            </w:r>
          </w:p>
        </w:tc>
        <w:tc>
          <w:tcPr>
            <w:tcW w:type="dxa" w:w="1728"/>
          </w:tcPr>
          <w:p>
            <w:r>
              <w:rPr>
                <w:b/>
              </w:rPr>
              <w:t>Likelihood</w:t>
            </w:r>
          </w:p>
        </w:tc>
        <w:tc>
          <w:tcPr>
            <w:tcW w:type="dxa" w:w="1728"/>
          </w:tcPr>
          <w:p>
            <w:r>
              <w:rPr>
                <w:b/>
              </w:rPr>
              <w:t>Impact</w:t>
            </w:r>
          </w:p>
        </w:tc>
        <w:tc>
          <w:tcPr>
            <w:tcW w:type="dxa" w:w="1728"/>
          </w:tcPr>
          <w:p>
            <w:r>
              <w:rPr>
                <w:b/>
              </w:rPr>
              <w:t>Severity</w:t>
            </w:r>
          </w:p>
        </w:tc>
        <w:tc>
          <w:tcPr>
            <w:tcW w:type="dxa" w:w="1728"/>
          </w:tcPr>
          <w:p>
            <w:r>
              <w:rPr>
                <w:b/>
              </w:rPr>
              <w:t>Mitigation</w:t>
            </w:r>
          </w:p>
        </w:tc>
      </w:tr>
      <w:tr>
        <w:tc>
          <w:tcPr>
            <w:tcW w:type="dxa" w:w="1728"/>
          </w:tcPr>
          <w:p>
            <w:r>
              <w:t>Cybersecurity breach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Critical</w:t>
            </w:r>
          </w:p>
        </w:tc>
        <w:tc>
          <w:tcPr>
            <w:tcW w:type="dxa" w:w="1728"/>
          </w:tcPr>
          <w:p>
            <w:r>
              <w:t>HIGH</w:t>
            </w:r>
          </w:p>
        </w:tc>
        <w:tc>
          <w:tcPr>
            <w:tcW w:type="dxa" w:w="1728"/>
          </w:tcPr>
          <w:p>
            <w:r>
              <w:t>SOC2 Type II, pen-testing quarterly</w:t>
            </w:r>
          </w:p>
        </w:tc>
      </w:tr>
      <w:tr>
        <w:tc>
          <w:tcPr>
            <w:tcW w:type="dxa" w:w="1728"/>
          </w:tcPr>
          <w:p>
            <w:r>
              <w:t>Key talent attrition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High</w:t>
            </w:r>
          </w:p>
        </w:tc>
        <w:tc>
          <w:tcPr>
            <w:tcW w:type="dxa" w:w="1728"/>
          </w:tcPr>
          <w:p>
            <w:r>
              <w:t>HIGH</w:t>
            </w:r>
          </w:p>
        </w:tc>
        <w:tc>
          <w:tcPr>
            <w:tcW w:type="dxa" w:w="1728"/>
          </w:tcPr>
          <w:p>
            <w:r>
              <w:t>Retention bonuses, equity refresh</w:t>
            </w:r>
          </w:p>
        </w:tc>
      </w:tr>
      <w:tr>
        <w:tc>
          <w:tcPr>
            <w:tcW w:type="dxa" w:w="1728"/>
          </w:tcPr>
          <w:p>
            <w:r>
              <w:t>Regulatory change (AI)</w:t>
            </w:r>
          </w:p>
        </w:tc>
        <w:tc>
          <w:tcPr>
            <w:tcW w:type="dxa" w:w="1728"/>
          </w:tcPr>
          <w:p>
            <w:r>
              <w:t>High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HIGH</w:t>
            </w:r>
          </w:p>
        </w:tc>
        <w:tc>
          <w:tcPr>
            <w:tcW w:type="dxa" w:w="1728"/>
          </w:tcPr>
          <w:p>
            <w:r>
              <w:t>Legal team monitoring, compliance roadmap</w:t>
            </w:r>
          </w:p>
        </w:tc>
      </w:tr>
      <w:tr>
        <w:tc>
          <w:tcPr>
            <w:tcW w:type="dxa" w:w="1728"/>
          </w:tcPr>
          <w:p>
            <w:r>
              <w:t>Cloud vendor dependency</w:t>
            </w:r>
          </w:p>
        </w:tc>
        <w:tc>
          <w:tcPr>
            <w:tcW w:type="dxa" w:w="1728"/>
          </w:tcPr>
          <w:p>
            <w:r>
              <w:t>Low</w:t>
            </w:r>
          </w:p>
        </w:tc>
        <w:tc>
          <w:tcPr>
            <w:tcW w:type="dxa" w:w="1728"/>
          </w:tcPr>
          <w:p>
            <w:r>
              <w:t>High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Multi-cloud strategy, exit clauses</w:t>
            </w:r>
          </w:p>
        </w:tc>
      </w:tr>
      <w:tr>
        <w:tc>
          <w:tcPr>
            <w:tcW w:type="dxa" w:w="1728"/>
          </w:tcPr>
          <w:p>
            <w:r>
              <w:t>FX currency exposure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Natural hedging, forward contracts</w:t>
            </w:r>
          </w:p>
        </w:tc>
      </w:tr>
      <w:tr>
        <w:tc>
          <w:tcPr>
            <w:tcW w:type="dxa" w:w="1728"/>
          </w:tcPr>
          <w:p>
            <w:r>
              <w:t>Economic downturn</w:t>
            </w:r>
          </w:p>
        </w:tc>
        <w:tc>
          <w:tcPr>
            <w:tcW w:type="dxa" w:w="1728"/>
          </w:tcPr>
          <w:p>
            <w:r>
              <w:t>Low</w:t>
            </w:r>
          </w:p>
        </w:tc>
        <w:tc>
          <w:tcPr>
            <w:tcW w:type="dxa" w:w="1728"/>
          </w:tcPr>
          <w:p>
            <w:r>
              <w:t>High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Diversified customer base, recurring revenue</w:t>
            </w:r>
          </w:p>
        </w:tc>
      </w:tr>
    </w:tbl>
    <w:p/>
    <w:p>
      <w:pPr>
        <w:pStyle w:val="Heading1"/>
      </w:pPr>
      <w:r>
        <w:t>5. ESG &amp; Sustainability</w:t>
      </w:r>
    </w:p>
    <w:p>
      <w:r>
        <w:t>TechVision achieved carbon neutrality in Scope 1 and 2 emissions in 2024. Scope 3 emissions reduced by 18% versus 2022 baseline. The company committed to net-zero across all scopes by 2035.</w:t>
      </w:r>
    </w:p>
    <w:p>
      <w:pPr>
        <w:pStyle w:val="ListBullet"/>
      </w:pPr>
      <w:r>
        <w:t>Renewable energy: 94% of global electricity from renewable sources</w:t>
      </w:r>
    </w:p>
    <w:p>
      <w:pPr>
        <w:pStyle w:val="ListBullet"/>
      </w:pPr>
      <w:r>
        <w:t>Diversity: 43% of new hires from underrepresented groups</w:t>
      </w:r>
    </w:p>
    <w:p>
      <w:pPr>
        <w:pStyle w:val="ListBullet"/>
      </w:pPr>
      <w:r>
        <w:t>Community: $8.2M in charitable giving and STEM scholarships</w:t>
      </w:r>
    </w:p>
    <w:p>
      <w:pPr>
        <w:pStyle w:val="ListBullet"/>
      </w:pPr>
      <w:r>
        <w:t>Governance: Board now 52% independent directors</w:t>
      </w:r>
    </w:p>
    <w:p>
      <w:r>
        <w:t>[Figure 2: ESG Performance Dashboard — Carbon emissions trend 2020-2024 showing 42% reduction in Scope 1+2 emissions. Renewable energy adoption curve reaching 94% in 2024 from 61% in 2020.]</w:t>
      </w:r>
    </w:p>
    <w:p>
      <w:pPr>
        <w:pStyle w:val="Heading1"/>
      </w:pPr>
      <w:r>
        <w:t>6. Outlook for FY2025</w:t>
      </w:r>
    </w:p>
    <w:p>
      <w:r>
        <w:t>Management guides for FY2025 revenue of $1.55–1.62 billion (+25–31% YoY), with operating margin expansion of 1–2 percentage points. The company plans to hire approximately 800 additional employees, primarily in engineering and customer success roles.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