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ACME Q2 2026 — Internal Investment Memo (Draft)</w:t>
      </w:r>
    </w:p>
    <w:p>
      <w:r>
        <w:rPr>
          <w:b/>
        </w:rPr>
        <w:t xml:space="preserve">Author: </w:t>
      </w:r>
      <w:r>
        <w:t>Sarah Chen, Senior Financial Analyst</w:t>
      </w:r>
    </w:p>
    <w:p>
      <w:r>
        <w:rPr>
          <w:b/>
        </w:rPr>
        <w:t xml:space="preserve">Reviewer: </w:t>
      </w:r>
      <w:r>
        <w:t>Yuki Tanaka, Director, Corporate Strategy &amp; FP&amp;A</w:t>
      </w:r>
    </w:p>
    <w:p>
      <w:r>
        <w:rPr>
          <w:b/>
        </w:rPr>
        <w:t xml:space="preserve">Status: </w:t>
      </w:r>
      <w:r>
        <w:t>Draft — Q2 IC submission. Do not distribute outside the team.</w:t>
      </w:r>
    </w:p>
    <w:p>
      <w:r>
        <w:rPr>
          <w:b/>
        </w:rPr>
        <w:t xml:space="preserve">Linked decision: </w:t>
      </w:r>
      <w:r>
        <w:t>Q2 2026 ACME strategic thesis call (see decision trace in vault).</w:t>
      </w:r>
    </w:p>
    <w:p>
      <w:pPr>
        <w:pStyle w:val="Heading2"/>
      </w:pPr>
      <w:r>
        <w:t>Executive Summary</w:t>
      </w:r>
    </w:p>
    <w:p>
      <w:r>
        <w:t>We recommend that ACME pursue two growth initiatives in parallel over the next eighteen months: expansion of the aftermarket sub-segment within Widget Distribution, and continued tuck-in M&amp;A in adjacent precision component categories. We recommend deferring the Mexico distribution footprint expansion until the tariff environment resolves. Capital deployment under this plan is approximately $420 million through Q4 2027, with expected returns above our cost of capital across the full sensitivity range.</w:t>
      </w:r>
    </w:p>
    <w:p>
      <w:pPr>
        <w:pStyle w:val="Heading2"/>
      </w:pPr>
      <w:r>
        <w:t>Base Case</w:t>
      </w:r>
    </w:p>
    <w:p>
      <w:r>
        <w:t>Our base case fair value range for ACME is $32 to $38 per share, against the current trading price of approximately $27. The base case assumes: tariff resolution after the 2026 midterm elections with phased rollback through 2027; aftermarket sub-segment growth of approximately 12 percent annually for the next three years; one to two precision component acquisitions completing in 2026 with total enterprise value of $200 to $350 million; and no material deterioration in our customer concentration profile.</w:t>
      </w:r>
    </w:p>
    <w:p>
      <w:pPr>
        <w:pStyle w:val="Heading3"/>
      </w:pPr>
      <w:r>
        <w:t>Comparable Set</w:t>
      </w:r>
    </w:p>
    <w:p>
      <w:r>
        <w:t>Our valuation cross-check uses three publicly-traded comparables: BetaWidgets Inc, DeltaSystems Corp, and Industrial Holdings Co. The fourth comparable, NorthPoint Manufacturing, is excluded due to its disproportionate aerospace exposure. The comparable set used in this memo is provisional pending final reconciliation with the sector lead by the end of this week.</w:t>
      </w:r>
    </w:p>
    <w:p>
      <w:pPr>
        <w:pStyle w:val="Heading3"/>
      </w:pPr>
      <w:r>
        <w:t>Sensitivity Analysis</w:t>
      </w:r>
    </w:p>
    <w:p>
      <w:r>
        <w:t>We have run sensitivity on weighted average cost of capital and terminal growth rate across a nine-cell matrix. The fair value range across the matrix is $22 (bear corner: WACC +100bps, terminal growth -50bps) to $43 (bull corner: WACC -100bps, terminal growth +50bps). Detailed sensitivity tables are attached as Appendix A.</w:t>
      </w:r>
    </w:p>
    <w:p>
      <w:pPr>
        <w:pStyle w:val="Heading2"/>
      </w:pPr>
      <w:r>
        <w:t>Bull Case</w:t>
      </w:r>
    </w:p>
    <w:p>
      <w:r>
        <w:t>Our bull case fair value is $41 per share. The bull case assumes upside on three independent dimensions: pre-midterm tariff resolution with full rollback by Q4 2026; market share gains in the aftermarket sub-segment driven by the rumored renegotiation of a competitor's key customer relationship; and successful integration of two precision component acquisitions with combined annual revenue exceeding our internal targets by 15 percent or more. We assign the bull case a probability of approximately 20 percent.</w:t>
      </w:r>
    </w:p>
    <w:p>
      <w:pPr>
        <w:pStyle w:val="Heading2"/>
      </w:pPr>
      <w:r>
        <w:t>Bear Case</w:t>
      </w:r>
    </w:p>
    <w:p>
      <w:r>
        <w:t>Our bear case fair value is $22 per share. The bear case assumes the following adverse scenario: tariff escalation through 2026 followed by only partial resolution in mid-2027; demand softness in industrial end markets driving widget distribution volume declines of 2 to 4 percent; precision components aerospace program timing slippage; and an emergent competitive challenge in the aftermarket sub-segment from one or more of our peers. We assign the bear case a probability of approximately 25 percent.</w:t>
      </w:r>
    </w:p>
    <w:p>
      <w:pPr>
        <w:pStyle w:val="Heading2"/>
      </w:pPr>
      <w:r>
        <w:t>Key Risks</w:t>
      </w:r>
    </w:p>
    <w:p>
      <w:r>
        <w:t>The principal risks to our recommendation are: tariff escalation beyond our bear case assumption; CEO succession risk, given that our current chief executive is expected to retire within the next eighteen months with no formally identified successor; integration execution risk on any completed precision component acquisitions; and customer concentration increasing in the Precision Components segment, where our top three customers currently represent approximately 47 percent of segment revenue.</w:t>
      </w:r>
    </w:p>
    <w:p>
      <w:pPr>
        <w:pStyle w:val="Heading2"/>
      </w:pPr>
      <w:r>
        <w:t>Recommendation</w:t>
      </w:r>
    </w:p>
    <w:p>
      <w:r>
        <w:t>We recommend approval of the proposed capital deployment plan, sized at $420 million through Q4 2027. We recommend that the Investment Committee revisit this thesis at the Q3 2026 review meeting following the BetaWidgets Q2 earnings release and the resolution of our internal comparable set discussion.</w:t>
      </w:r>
    </w:p>
    <w:p>
      <w:pPr>
        <w:pStyle w:val="Heading2"/>
      </w:pPr>
      <w:r>
        <w:t>Appendix A — Sensitivity Tables</w:t>
      </w:r>
    </w:p>
    <w:p>
      <w:r>
        <w:t>Sensitivity tables for fair value across WACC and terminal growth rate combinations are provided below. Note that all values are subject to revision pending finalization of the tariff bear case assumptions, which are scheduled for completion by 2026-05-15.</w:t>
      </w:r>
    </w:p>
    <w:p>
      <w:pPr>
        <w:pStyle w:val="Heading2"/>
      </w:pPr>
      <w:r>
        <w:t>Appendix B — Comparable Multiples</w:t>
      </w:r>
    </w:p>
    <w:p>
      <w:r>
        <w:t>Detailed comparable company analysis including EV/EBITDA, P/E, and EV/Revenue multiples on both trailing twelve month and next twelve month bases. The comparable set is consistent with the DCF methodology specification maintained by the team.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