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Refund Policy</w:t>
      </w:r>
    </w:p>
    <w:p>
      <w:r>
        <w:t>Customers may request a refund within 30 days of purchase.</w:t>
      </w:r>
    </w:p>
    <w:p>
      <w:pPr>
        <w:pStyle w:val="Heading1"/>
      </w:pPr>
      <w:r>
        <w:t>Shipping</w:t>
      </w:r>
    </w:p>
    <w:p>
      <w:r>
        <w:t>Orders ship within two business days.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SKU</w:t>
            </w:r>
          </w:p>
        </w:tc>
        <w:tc>
          <w:tcPr>
            <w:tcW w:type="dxa" w:w="4320"/>
          </w:tcPr>
          <w:p>
            <w:r>
              <w:t>A-100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