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999999"/>
        <w:sz w:val="14"/>
      </w:rPr>
      <w:t>CONFIDENTIAL - Acme Corporation. All Rights Reserved.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b/>
        <w:color w:val="00528A"/>
        <w:sz w:val="18"/>
      </w:rPr>
      <w:t>ACME CORPORATION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3333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528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3333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6BB3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irstParagraph">
    <w:name w:val="First Paragraph"/>
  </w:style>
  <w:style w:type="table" w:customStyle="1" w:styleId="GridTableLight">
    <w:name w:val="Grid Table Light"/>
  </w:style>
  <w:style w:type="paragraph" w:customStyle="1" w:styleId="SourceCode">
    <w:name w:val="Source Code"/>
  </w:style>
  <w:style w:type="paragraph" w:customStyle="1" w:styleId="BlockText">
    <w:name w:val="Block Text"/>
  </w:style>
  <w:style w:type="paragraph" w:customStyle="1" w:styleId="toc1">
    <w:name w:val="toc 1"/>
  </w:style>
  <w:style w:type="paragraph" w:customStyle="1" w:styleId="toc2">
    <w:name w:val="toc 2"/>
  </w:style>
  <w:style w:type="paragraph" w:customStyle="1" w:styleId="toc3">
    <w:name w:val="toc 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