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HyperMind: Cryptographic Chain of Custody and Swarm Deliberation for Federated AI Agents</w:t>
      </w:r>
    </w:p>
    <w:p>
      <w:pPr>
        <w:pStyle w:val="Author"/>
      </w:pPr>
      <w:r>
        <w:t xml:space="preserve">Venky Siddi</w:t>
      </w:r>
    </w:p>
    <w:bookmarkStart w:id="49" w:name="X3e09edc40f337cae2f42c1f93d379b5bd93e6f3"/>
    <w:p>
      <w:pPr>
        <w:pStyle w:val="Heading1"/>
      </w:pPr>
      <w:r>
        <w:t xml:space="preserve">HyperMind: Cryptographic Chain of Custody and Swarm Deliberation for Federated AI Agents</w:t>
      </w:r>
    </w:p>
    <w:p>
      <w:pPr>
        <w:pStyle w:val="FirstParagraph"/>
      </w:pPr>
      <w:r>
        <w:rPr>
          <w:b/>
          <w:bCs/>
        </w:rPr>
        <w:t xml:space="preserve">Venky Siddi</w:t>
      </w:r>
      <w:r>
        <w:t xml:space="preserve"> </w:t>
      </w:r>
      <w:r>
        <w:t xml:space="preserve">— ZySec AI (developers@zysec.ai)</w:t>
      </w:r>
    </w:p>
    <w:p>
      <w:pPr>
        <w:pStyle w:val="BodyText"/>
      </w:pPr>
      <w:r>
        <w:rPr>
          <w:b/>
          <w:bCs/>
        </w:rPr>
        <w:t xml:space="preserve">Minor Revision</w:t>
      </w:r>
      <w:r>
        <w:t xml:space="preserve"> </w:t>
      </w:r>
      <w:r>
        <w:t xml:space="preserve">— May 2026 — Submitted to IEEE Symposium on Security and Privacy</w:t>
      </w:r>
    </w:p>
    <w:p>
      <w:r>
        <w:pict>
          <v:rect style="width:0;height:1.5pt" o:hralign="center" o:hrstd="t" o:hr="t"/>
        </w:pict>
      </w:r>
    </w:p>
    <w:bookmarkStart w:id="9" w:name="response-to-reviewers"/>
    <w:p>
      <w:pPr>
        <w:pStyle w:val="Heading2"/>
      </w:pPr>
      <w:r>
        <w:t xml:space="preserve">Response to Reviewers</w:t>
      </w:r>
    </w:p>
    <w:p>
      <w:pPr>
        <w:pStyle w:val="FirstParagraph"/>
      </w:pPr>
      <w:r>
        <w:rPr>
          <w:i/>
          <w:iCs/>
        </w:rPr>
        <w:t xml:space="preserve">Addressed to the Editor-in-Chief and Associate Editors.</w:t>
      </w:r>
    </w:p>
    <w:p>
      <w:pPr>
        <w:pStyle w:val="BodyText"/>
      </w:pPr>
      <w:r>
        <w:t xml:space="preserve">We thank the reviewers for a thorough and technically precise review. We address each blocking and required item in turn, then note two points where we respectfully push back on specific framings.</w:t>
      </w:r>
    </w:p>
    <w:p>
      <w:pPr>
        <w:pStyle w:val="BodyText"/>
      </w:pPr>
      <w:r>
        <w:rPr>
          <w:b/>
          <w:bCs/>
        </w:rPr>
        <w:t xml:space="preserve">P0-1 (R5:</w:t>
      </w:r>
      <w:r>
        <w:rPr>
          <w:b/>
          <w:bCs/>
        </w:rPr>
        <w:t xml:space="preserve"> </w:t>
      </w:r>
      <w:r>
        <w:rPr>
          <w:b/>
          <w:bCs/>
        </w:rPr>
        <w:t xml:space="preserve">“formally guarantees”</w:t>
      </w:r>
      <w:r>
        <w:rPr>
          <w:b/>
          <w:bCs/>
        </w:rPr>
        <w:t xml:space="preserve"> </w:t>
      </w:r>
      <w:r>
        <w:rPr>
          <w:b/>
          <w:bCs/>
        </w:rPr>
        <w:t xml:space="preserve">language).</w:t>
      </w:r>
      <w:r>
        <w:t xml:space="preserve"> </w:t>
      </w:r>
      <w:r>
        <w:t xml:space="preserve">We accept this correction fully. Every instance of</w:t>
      </w:r>
      <w:r>
        <w:t xml:space="preserve"> </w:t>
      </w:r>
      <w:r>
        <w:t xml:space="preserve">“formally guarantee”</w:t>
      </w:r>
      <w:r>
        <w:t xml:space="preserve"> </w:t>
      </w:r>
      <w:r>
        <w:t xml:space="preserve">has been replaced with</w:t>
      </w:r>
      <w:r>
        <w:t xml:space="preserve"> </w:t>
      </w:r>
      <w:r>
        <w:t xml:space="preserve">“specify and enforce via regression tests”</w:t>
      </w:r>
      <w:r>
        <w:t xml:space="preserve"> </w:t>
      </w:r>
      <w:r>
        <w:t xml:space="preserve">or equivalent language. The abstract, §4.2, and §8 have been revised accordingly. We have added an explicit honesty sentence in §4.2: the invariant table represents design-level specification with regression test coverage; exhaustive state-space verification is planned but not yet delivered.</w:t>
      </w:r>
    </w:p>
    <w:p>
      <w:pPr>
        <w:pStyle w:val="BodyText"/>
      </w:pPr>
      <w:r>
        <w:t xml:space="preserve">We do not concede R5’s secondary claim that</w:t>
      </w:r>
      <w:r>
        <w:t xml:space="preserve"> </w:t>
      </w:r>
      <w:r>
        <w:t xml:space="preserve">“only A-ALG-BOUND is a real contribution.”</w:t>
      </w:r>
      <w:r>
        <w:t xml:space="preserve"> </w:t>
      </w:r>
      <w:r>
        <w:t xml:space="preserve">The 24 specified invariants constitute a well-structured design artefact with concrete regression coverage. The limitation is that they are not exhaustively model-checked — not that they do not exist or are not tested. We have made this distinction explicit in the revised §4.2 and §8.</w:t>
      </w:r>
    </w:p>
    <w:p>
      <w:pPr>
        <w:pStyle w:val="BodyText"/>
      </w:pPr>
      <w:r>
        <w:rPr>
          <w:b/>
          <w:bCs/>
        </w:rPr>
        <w:t xml:space="preserve">P0-2 (Contribution #6: momentum anomaly detection).</w:t>
      </w:r>
      <w:r>
        <w:t xml:space="preserve"> </w:t>
      </w:r>
      <w:r>
        <w:t xml:space="preserve">We accept this correction. Momentum anomaly detection has been removed from the numbered contribution list in §1 and the abstract. The abstract now states</w:t>
      </w:r>
      <w:r>
        <w:t xml:space="preserve"> </w:t>
      </w:r>
      <w:r>
        <w:t xml:space="preserve">“six contributions.”</w:t>
      </w:r>
      <w:r>
        <w:t xml:space="preserve"> </w:t>
      </w:r>
      <w:r>
        <w:t xml:space="preserve">§4.4 is retained and retitled</w:t>
      </w:r>
      <w:r>
        <w:t xml:space="preserve"> </w:t>
      </w:r>
      <w:r>
        <w:t xml:space="preserve">“Momentum Anomaly Detection: Specification and Partial Implementation.”</w:t>
      </w:r>
      <w:r>
        <w:t xml:space="preserve"> </w:t>
      </w:r>
      <w:r>
        <w:t xml:space="preserve">The section now clearly frames the dual-condition gate and the</w:t>
      </w:r>
      <w:r>
        <w:t xml:space="preserve"> </w:t>
      </w:r>
      <w:r>
        <w:rPr>
          <w:rStyle w:val="VerbatimChar"/>
        </w:rPr>
        <w:t xml:space="preserve">momentum_z</w:t>
      </w:r>
      <w:r>
        <w:t xml:space="preserve"> </w:t>
      </w:r>
      <w:r>
        <w:t xml:space="preserve">field as design deliverables, with the enforcement gate honestly marked as planned for v0.10. §8 removes momentum detection from the contribution summary and adds it to future work.</w:t>
      </w:r>
    </w:p>
    <w:p>
      <w:pPr>
        <w:pStyle w:val="BodyText"/>
      </w:pPr>
      <w:r>
        <w:rPr>
          <w:b/>
          <w:bCs/>
        </w:rPr>
        <w:t xml:space="preserve">P0-3 (R3: EigenTrust global-matrix incompatibility).</w:t>
      </w:r>
      <w:r>
        <w:t xml:space="preserve"> </w:t>
      </w:r>
      <w:r>
        <w:t xml:space="preserve">We accept this as a genuine architectural tension. A new paragraph has been added in §3.2 explaining that EigenTrust mass shares are computed over local trust subgraphs under partition, with conservative quorum semantics and a post-heal re-evaluation requirement. A new limitation</w:t>
      </w:r>
      <w:r>
        <w:t xml:space="preserve"> </w:t>
      </w:r>
      <w:r>
        <w:rPr>
          <w:b/>
          <w:bCs/>
        </w:rPr>
        <w:t xml:space="preserve">L8</w:t>
      </w:r>
      <w:r>
        <w:t xml:space="preserve"> </w:t>
      </w:r>
      <w:r>
        <w:t xml:space="preserve">has been added to §7 acknowledging that sealing decisions are locally consistent but globally approximate under partition.</w:t>
      </w:r>
    </w:p>
    <w:p>
      <w:pPr>
        <w:pStyle w:val="BodyText"/>
      </w:pPr>
      <w:r>
        <w:rPr>
          <w:b/>
          <w:bCs/>
        </w:rPr>
        <w:t xml:space="preserve">R1 Weakness 2 (Sybil multi-layer sockpuppet budget).</w:t>
      </w:r>
      <w:r>
        <w:t xml:space="preserve"> </w:t>
      </w:r>
      <w:r>
        <w:t xml:space="preserve">We have added a concrete budget argument in §4.3 quantifying the adversarial cost as superlinear in Q (the number of sealing quorums targeted). The structural argument holds for any positive bond cost; the exact values are namespace-governance parameters.</w:t>
      </w:r>
    </w:p>
    <w:p>
      <w:pPr>
        <w:pStyle w:val="BodyText"/>
      </w:pPr>
      <w:r>
        <w:rPr>
          <w:b/>
          <w:bCs/>
        </w:rPr>
        <w:t xml:space="preserve">R1 Weakness 4 (FROST/Drijvers framing).</w:t>
      </w:r>
      <w:r>
        <w:t xml:space="preserve"> </w:t>
      </w:r>
      <w:r>
        <w:t xml:space="preserve">We accept this partial correction. The Drijvers et al. (2021) citation concerns multi-signature constructions, not FROST threshold signatures directly. §2.4 has been revised to accurately state that RFC 9591 mandates nonce generation procedures and that HyperMind’s deterministic-nonce + bounded-LRU is a defence-in-depth implementation choice layered on the RFC’s own nonce discipline.</w:t>
      </w:r>
    </w:p>
    <w:p>
      <w:pPr>
        <w:pStyle w:val="BodyText"/>
      </w:pPr>
      <w:r>
        <w:rPr>
          <w:b/>
          <w:bCs/>
        </w:rPr>
        <w:t xml:space="preserve">R4 Weakness 1 (EIG undefined in §3.7).</w:t>
      </w:r>
      <w:r>
        <w:t xml:space="preserve"> </w:t>
      </w:r>
      <w:r>
        <w:t xml:space="preserve">We have added a prose definition of expected information gain in §3.7. A formal mathematical definition with a closed-form expression is deferred to the companion technical report.</w:t>
      </w:r>
    </w:p>
    <w:p>
      <w:pPr>
        <w:pStyle w:val="BodyText"/>
      </w:pPr>
      <w:r>
        <w:rPr>
          <w:b/>
          <w:bCs/>
        </w:rPr>
        <w:t xml:space="preserve">R3-W5 (γ_mentor calibration).</w:t>
      </w:r>
      <w:r>
        <w:t xml:space="preserve"> </w:t>
      </w:r>
      <w:r>
        <w:t xml:space="preserve">We accept this as an honest gap. The value γ_mentor = 0.5 was selected as a design parameter with a structural rationale (mentor bears half the apprentice’s impact) rather than from empirical calibration. We have added</w:t>
      </w:r>
      <w:r>
        <w:t xml:space="preserve"> </w:t>
      </w:r>
      <w:r>
        <w:rPr>
          <w:b/>
          <w:bCs/>
        </w:rPr>
        <w:t xml:space="preserve">L10</w:t>
      </w:r>
      <w:r>
        <w:t xml:space="preserve"> </w:t>
      </w:r>
      <w:r>
        <w:t xml:space="preserve">to §7 explicitly acknowledging this, stating the rationale for the chosen value, and committing to a sensitivity analysis across γ_mentor ∈ {0.1, 0.25, 0.5, 0.75} in the v0.2 evaluation campaign. We note that γ_mentor is a namespace-governance parameter, reducing the risk that a mis-calibrated default has protocol-wide irreversible effects.</w:t>
      </w:r>
    </w:p>
    <w:p>
      <w:pPr>
        <w:pStyle w:val="BodyText"/>
      </w:pPr>
      <w:r>
        <w:rPr>
          <w:b/>
          <w:bCs/>
        </w:rPr>
        <w:t xml:space="preserve">P1-4 through P1-7 (Required items).</w:t>
      </w:r>
      <w:r>
        <w:t xml:space="preserve"> </w:t>
      </w:r>
      <w:r>
        <w:t xml:space="preserve">All four required items have been addressed: the Sybil budget argument (§4.3), the swarm layer coverage paragraph and new L9 limitation (§6.5 and §7), the GossipBus delivery semantics paragraph (§3.5), and the cosine-distance threshold reconciliation (§3.7). Details are noted in the respective sections below.</w:t>
      </w:r>
    </w:p>
    <w:p>
      <w:pPr>
        <w:pStyle w:val="BodyText"/>
      </w:pPr>
      <w:r>
        <w:rPr>
          <w:b/>
          <w:bCs/>
        </w:rPr>
        <w:t xml:space="preserve">R5 Weakness 2 (venue fit).</w:t>
      </w:r>
      <w:r>
        <w:t xml:space="preserve"> </w:t>
      </w:r>
      <w:r>
        <w:t xml:space="preserve">We respectfully disagree. The paper presents a concrete protocol specification with a reference implementation, invariant specification, two-implementation interop testing across 38 cross-verification cases, and explicit limitations disclosure. This is appropriate for IEEE S&amp;P’s systems security track, which has historically accepted protocol design papers with partial formal verification where the implementation and security analysis are substantive.</w:t>
      </w:r>
    </w:p>
    <w:p>
      <w:r>
        <w:pict>
          <v:rect style="width:0;height:1.5pt" o:hralign="center" o:hrstd="t" o:hr="t"/>
        </w:pict>
      </w:r>
    </w:p>
    <w:bookmarkEnd w:id="9"/>
    <w:bookmarkStart w:id="10" w:name="abstract"/>
    <w:p>
      <w:pPr>
        <w:pStyle w:val="Heading2"/>
      </w:pPr>
      <w:r>
        <w:t xml:space="preserve">Abstract</w:t>
      </w:r>
    </w:p>
    <w:p>
      <w:pPr>
        <w:pStyle w:val="FirstParagraph"/>
      </w:pPr>
      <w:r>
        <w:t xml:space="preserve">Federated AI agent networks face a three-part trust deficit: published knowledge cannot be traced to its origin with cryptographic fidelity, disputes between agents have no principled resolution path, and swarm-level intelligence amplification provides no defence against Sybil attacks or reputation laundering. Existing transparency infrastructure (SCITT, Certificate Transparency) addresses provenance for static artefacts but offers no primitives for contested claims, decaying endorsements, or swarm coordination. We present HyperMind, a federated agent protocol that closes this gap through six novel contributions: (1) diverse-quorum sealing with cosine-distance and EigenTrust-mass constraints; (2) calibration gating that separates epistemic accuracy from social reputation; (3) a partition-aware dispute FSM with hermetically scoped bonds; (4) living transmission semantics in which endorsements decay without renewal and mentor bonds are slashed on apprentice misbehaviour; (5) epoch-based capability revocation with fail-closed partition safety; and (6) A-ALG-BOUND domain separation that closes the JWT alg=none substitution class at the wire layer. The reference Python SDK ships over 1,350 passing tests including five self-healing regression cycles and a two-implementation interoperability suite. We specify 24 named invariants with regression test coverage and a wire-format domain-separation lemma (WF-DOMAIN). One limitation is acknowledged upfront: TLA+ model checking is planned but incomplete; the invariant coverage in this paper rests on design-level specification and regression test pinning rather than exhaustive state-space exploration.</w:t>
      </w:r>
    </w:p>
    <w:p>
      <w:r>
        <w:pict>
          <v:rect style="width:0;height:1.5pt" o:hralign="center" o:hrstd="t" o:hr="t"/>
        </w:pict>
      </w:r>
    </w:p>
    <w:bookmarkEnd w:id="10"/>
    <w:bookmarkStart w:id="11" w:name="introduction"/>
    <w:p>
      <w:pPr>
        <w:pStyle w:val="Heading2"/>
      </w:pPr>
      <w:r>
        <w:t xml:space="preserve">1. Introduction</w:t>
      </w:r>
    </w:p>
    <w:p>
      <w:pPr>
        <w:pStyle w:val="FirstParagraph"/>
      </w:pPr>
      <w:r>
        <w:t xml:space="preserve">An autonomous AI agent publishes a threat-intelligence claim. Three downstream agents cite it. Six hours later, a fourth agent publishes a rebuttal — but the original claim has already propagated to 200 peers and influenced 14 downstream decisions. The rebuttal is a claim like any other; it has no privileged status, no enforcement mechanism, and no way to mark the original as contested. The original claimant’s reputation is intact. The damage is done.</w:t>
      </w:r>
    </w:p>
    <w:p>
      <w:pPr>
        <w:pStyle w:val="BodyText"/>
      </w:pPr>
      <w:r>
        <w:t xml:space="preserve">This failure mode is not hypothetical. It is the structural condition of any knowledge-sharing network without a cryptographic dispute channel. The state of the art offers SCITT (Truskovsky et al., 2023), Certificate Transparency (Laurie et al., 2013), and federated learning frameworks (McMahan et al., 2017) — all of which were designed for different principals and different threat models. SCITT provides an append-only transparency log for supply-chain artefacts but has no notion of a contested claim, no reputation layer, and no multi-agent coordination primitives. FedAvg and its successors (Flower, FATE) enable distributed model training but assume a central aggregator, produce mutable shared state, and carry no provenance whatsoever. Neither paradigm addresses the three-part trust deficit of federated agent networks.</w:t>
      </w:r>
    </w:p>
    <w:p>
      <w:pPr>
        <w:pStyle w:val="BodyText"/>
      </w:pPr>
      <w:r>
        <w:t xml:space="preserve">The gap is structural, not incidental. An agent network needs at least five things that existing protocols do not provide:</w:t>
      </w:r>
    </w:p>
    <w:p>
      <w:pPr>
        <w:numPr>
          <w:ilvl w:val="0"/>
          <w:numId w:val="1001"/>
        </w:numPr>
      </w:pPr>
      <w:r>
        <w:rPr>
          <w:b/>
          <w:bCs/>
        </w:rPr>
        <w:t xml:space="preserve">Provenance that is unforgeable and complete.</w:t>
      </w:r>
      <w:r>
        <w:t xml:space="preserve"> </w:t>
      </w:r>
      <w:r>
        <w:t xml:space="preserve">Every claim must carry a cryptographically bound origin, algorithm, namespace, and timestamp. Retroactive substitution of any discriminator — including the signing algorithm — must be detectable at parse time, before signature verification. The JWT alg=none vulnerability (where a verifier trusts a header field that was not signed) is the archetypal failure; the fix must be architectural.</w:t>
      </w:r>
    </w:p>
    <w:p>
      <w:pPr>
        <w:numPr>
          <w:ilvl w:val="0"/>
          <w:numId w:val="1001"/>
        </w:numPr>
      </w:pPr>
      <w:r>
        <w:rPr>
          <w:b/>
          <w:bCs/>
        </w:rPr>
        <w:t xml:space="preserve">Dispute primitives that are hermetic and terminal.</w:t>
      </w:r>
      <w:r>
        <w:t xml:space="preserve"> </w:t>
      </w:r>
      <w:r>
        <w:t xml:space="preserve">When two agents disagree, the network needs a finite-state channel with cryptographic bonds, scoped to a single topic, that either resolves or terminates in an auditable deadlock record. An unresolved dispute that hangs indefinitely is a denial-of-service surface.</w:t>
      </w:r>
    </w:p>
    <w:p>
      <w:pPr>
        <w:numPr>
          <w:ilvl w:val="0"/>
          <w:numId w:val="1001"/>
        </w:numPr>
      </w:pPr>
      <w:r>
        <w:rPr>
          <w:b/>
          <w:bCs/>
        </w:rPr>
        <w:t xml:space="preserve">Reputation that resists laundering and Sybil amplification.</w:t>
      </w:r>
      <w:r>
        <w:t xml:space="preserve"> </w:t>
      </w:r>
      <w:r>
        <w:t xml:space="preserve">A per-topic Bayesian posterior that decays with inactivity and is bounded from above by calibration accuracy is harder to launder than a global scalar. A diverse-quorum sealing requirement that enforces cosine distance between confirmer embeddings makes Sybil cluster confirmation detectable without a central oracle.</w:t>
      </w:r>
    </w:p>
    <w:p>
      <w:pPr>
        <w:numPr>
          <w:ilvl w:val="0"/>
          <w:numId w:val="1001"/>
        </w:numPr>
      </w:pPr>
      <w:r>
        <w:rPr>
          <w:b/>
          <w:bCs/>
        </w:rPr>
        <w:t xml:space="preserve">Endorsements that decay.</w:t>
      </w:r>
      <w:r>
        <w:t xml:space="preserve"> </w:t>
      </w:r>
      <w:r>
        <w:t xml:space="preserve">A trust relationship established at time T should not confer indefinite benefit. Living transmission semantics — where an endorsement has a renewal deadline and a mentor bond is slashed if the apprentice misbehaves — align incentives with continued correct behaviour, not past correct behaviour.</w:t>
      </w:r>
    </w:p>
    <w:p>
      <w:pPr>
        <w:numPr>
          <w:ilvl w:val="0"/>
          <w:numId w:val="1001"/>
        </w:numPr>
      </w:pPr>
      <w:r>
        <w:rPr>
          <w:b/>
          <w:bCs/>
        </w:rPr>
        <w:t xml:space="preserve">Swarm deliberation that is cryptographically anchored.</w:t>
      </w:r>
      <w:r>
        <w:t xml:space="preserve"> </w:t>
      </w:r>
      <w:r>
        <w:t xml:space="preserve">Information-gain planning, anti-herding, and role specialisation are useful only if the underlying claims they reason over carry chain of custody. Swarm intelligence without trust binding is gossip dressed up in mathematics.</w:t>
      </w:r>
    </w:p>
    <w:p>
      <w:pPr>
        <w:pStyle w:val="FirstParagraph"/>
      </w:pPr>
      <w:r>
        <w:t xml:space="preserve">HyperMind is a federated agent protocol and reference SDK that addresses all five requirements. It is specified as a profile of the IETF SCITT architecture (Truskovsky et al., 2023) — inheriting the append-only transparency log and COSE envelope (Schaad et al., 2022) — and extends it with dispute primitives, a reputation kernel, calibration gating, living transmission, and a swarm-deliberation layer. The protocol is formally defined as</w:t>
      </w:r>
      <w:r>
        <w:t xml:space="preserve"> </w:t>
      </w:r>
      <w:r>
        <w:rPr>
          <w:rStyle w:val="VerbatimChar"/>
        </w:rPr>
        <w:t xml:space="preserve">draft-hypermind-scitt-contested-claims-profile-00</w:t>
      </w:r>
      <w:r>
        <w:t xml:space="preserve">.</w:t>
      </w:r>
    </w:p>
    <w:p>
      <w:pPr>
        <w:pStyle w:val="BodyText"/>
      </w:pPr>
      <w:r>
        <w:rPr>
          <w:b/>
          <w:bCs/>
        </w:rPr>
        <w:t xml:space="preserve">Contributions.</w:t>
      </w:r>
      <w:r>
        <w:t xml:space="preserve"> </w:t>
      </w:r>
      <w:r>
        <w:t xml:space="preserve">This paper makes the following six contributions:</w:t>
      </w:r>
    </w:p>
    <w:p>
      <w:pPr>
        <w:numPr>
          <w:ilvl w:val="0"/>
          <w:numId w:val="1002"/>
        </w:numPr>
      </w:pPr>
      <w:r>
        <w:rPr>
          <w:b/>
          <w:bCs/>
        </w:rPr>
        <w:t xml:space="preserve">Diverse-quorum sealing</w:t>
      </w:r>
      <w:r>
        <w:t xml:space="preserve"> </w:t>
      </w:r>
      <w:r>
        <w:t xml:space="preserve">(§3.2): peer-driven claim sealing with confirmer-embedding cosine distance ≥ 0.3, distinct vouch-root paths, EigenTrust mass-share cap ≤ 0.30 per confirmer, and a per-topic rolling correctness window requiring ≥ 0.85 accuracy over 200 claims.</w:t>
      </w:r>
    </w:p>
    <w:p>
      <w:pPr>
        <w:numPr>
          <w:ilvl w:val="0"/>
          <w:numId w:val="1002"/>
        </w:numPr>
      </w:pPr>
      <w:r>
        <w:rPr>
          <w:b/>
          <w:bCs/>
        </w:rPr>
        <w:t xml:space="preserve">Calibration gating</w:t>
      </w:r>
      <w:r>
        <w:t xml:space="preserve"> </w:t>
      </w:r>
      <w:r>
        <w:t xml:space="preserve">(§3.4): a ranked probability score (RPS) gate that prevents a high-reputation agent with poor calibration from sealing claims. Reputation and calibration accuracy are tracked independently; both must clear their respective thresholds.</w:t>
      </w:r>
    </w:p>
    <w:p>
      <w:pPr>
        <w:numPr>
          <w:ilvl w:val="0"/>
          <w:numId w:val="1002"/>
        </w:numPr>
      </w:pPr>
      <w:r>
        <w:rPr>
          <w:b/>
          <w:bCs/>
        </w:rPr>
        <w:t xml:space="preserve">Structured dispute FSM with partition-aware healing</w:t>
      </w:r>
      <w:r>
        <w:t xml:space="preserve"> </w:t>
      </w:r>
      <w:r>
        <w:t xml:space="preserve">(§3.5): a four-state machine (OPEN → ARGUE → COUNTER → CLOSED | FRIVOLOUS, with UNRESOLVED_PARTITION as a terminal fallback) with hermetically scoped bonds enforced by the invariant I-DISPUTE-PARTITION.</w:t>
      </w:r>
    </w:p>
    <w:p>
      <w:pPr>
        <w:numPr>
          <w:ilvl w:val="0"/>
          <w:numId w:val="1002"/>
        </w:numPr>
      </w:pPr>
      <w:r>
        <w:rPr>
          <w:b/>
          <w:bCs/>
        </w:rPr>
        <w:t xml:space="preserve">Living transmission</w:t>
      </w:r>
      <w:r>
        <w:t xml:space="preserve"> </w:t>
      </w:r>
      <w:r>
        <w:t xml:space="preserve">(§4.3): endorsement bonds carry an expiry; mentor bonds are slashed proportionally when an apprentice accrues verified misbehaviour. The decay schedule is HLC-timestamped and auditable.</w:t>
      </w:r>
    </w:p>
    <w:p>
      <w:pPr>
        <w:numPr>
          <w:ilvl w:val="0"/>
          <w:numId w:val="1002"/>
        </w:numPr>
      </w:pPr>
      <w:r>
        <w:rPr>
          <w:b/>
          <w:bCs/>
        </w:rPr>
        <w:t xml:space="preserve">Epoch-based capability revocation with fail-closed partition safety</w:t>
      </w:r>
      <w:r>
        <w:t xml:space="preserve"> </w:t>
      </w:r>
      <w:r>
        <w:t xml:space="preserve">(§3.6): capability tokens carry an epoch field; revocation is multi-attester; partitioned verifiers fall back to the stricter assumption (fail-closed), enforced by A-TOMB-REVOKE-DISJOINT.</w:t>
      </w:r>
    </w:p>
    <w:p>
      <w:pPr>
        <w:numPr>
          <w:ilvl w:val="0"/>
          <w:numId w:val="1002"/>
        </w:numPr>
      </w:pPr>
      <w:r>
        <w:rPr>
          <w:b/>
          <w:bCs/>
        </w:rPr>
        <w:t xml:space="preserve">A-ALG-BOUND domain separation</w:t>
      </w:r>
      <w:r>
        <w:t xml:space="preserve"> </w:t>
      </w:r>
      <w:r>
        <w:t xml:space="preserve">(§3.1): all discriminators (record_type, namespace_id, HLC, wire_version, signature_alg, envelope_schema_hash, pq_required) are bound into the COSE protected header and re-encoding under canonical CBOR (Bormann &amp; Hoffman, 2020) must equal the wire bytes before signature verification occurs. One-byte domain tags 0x01–0x18 prefix every cryptographic operation’s preimage.</w:t>
      </w:r>
    </w:p>
    <w:p>
      <w:pPr>
        <w:pStyle w:val="FirstParagraph"/>
      </w:pPr>
      <w:r>
        <w:t xml:space="preserve">The design of a dual-condition momentum anomaly detector (§4.4) — specifying the</w:t>
      </w:r>
      <w:r>
        <w:t xml:space="preserve"> </w:t>
      </w:r>
      <w:r>
        <w:rPr>
          <w:rStyle w:val="VerbatimChar"/>
        </w:rPr>
        <w:t xml:space="preserve">momentum_z</w:t>
      </w:r>
      <w:r>
        <w:t xml:space="preserve"> </w:t>
      </w:r>
      <w:r>
        <w:t xml:space="preserve">field in</w:t>
      </w:r>
      <w:r>
        <w:t xml:space="preserve"> </w:t>
      </w:r>
      <w:r>
        <w:rPr>
          <w:rStyle w:val="VerbatimChar"/>
        </w:rPr>
        <w:t xml:space="preserve">ReputationSnapshot</w:t>
      </w:r>
      <w:r>
        <w:t xml:space="preserve"> </w:t>
      </w:r>
      <w:r>
        <w:t xml:space="preserve">and the dual-window EMA gate — is presented as a design contribution with partial implementation; the enforcement gate is planned for v0.10 and is therefore not counted as a delivered contribution above.</w:t>
      </w:r>
    </w:p>
    <w:p>
      <w:pPr>
        <w:pStyle w:val="BodyText"/>
      </w:pPr>
      <w:r>
        <w:rPr>
          <w:b/>
          <w:bCs/>
        </w:rPr>
        <w:t xml:space="preserve">Paper organisation.</w:t>
      </w:r>
      <w:r>
        <w:t xml:space="preserve"> </w:t>
      </w:r>
      <w:r>
        <w:t xml:space="preserve">Section 2 surveys related work. Section 3 presents protocol design. Section 4 provides the security analysis. Section 5 describes the implementation. Section 6 reports evaluation results. Section 7 acknowledges limitations and future work. Section 8 concludes.</w:t>
      </w:r>
    </w:p>
    <w:p>
      <w:r>
        <w:pict>
          <v:rect style="width:0;height:1.5pt" o:hralign="center" o:hrstd="t" o:hr="t"/>
        </w:pict>
      </w:r>
    </w:p>
    <w:bookmarkEnd w:id="11"/>
    <w:bookmarkStart w:id="19" w:name="background-and-related-work"/>
    <w:p>
      <w:pPr>
        <w:pStyle w:val="Heading2"/>
      </w:pPr>
      <w:r>
        <w:t xml:space="preserve">2. Background and Related Work</w:t>
      </w:r>
    </w:p>
    <w:bookmarkStart w:id="12" w:name="scitt-and-certificate-transparency"/>
    <w:p>
      <w:pPr>
        <w:pStyle w:val="Heading3"/>
      </w:pPr>
      <w:r>
        <w:t xml:space="preserve">2.1 SCITT and Certificate Transparency</w:t>
      </w:r>
    </w:p>
    <w:p>
      <w:pPr>
        <w:pStyle w:val="FirstParagraph"/>
      </w:pPr>
      <w:r>
        <w:t xml:space="preserve">Certificate Transparency (Laurie et al., 2013) introduced the append-only, cryptographically verifiable log as a mechanism for detecting rogue certificate issuance. The core primitive — a Merkle tree whose root is periodically cosigned by witnesses — has proven durable; it has been adopted in the IETF SCITT architecture (Truskovsky et al., 2023) for supply-chain artefact transparency. SCITT defines a COSE-based (Schaad et al., 2022) statement format and a transparency service that issues signed receipts.</w:t>
      </w:r>
    </w:p>
    <w:p>
      <w:pPr>
        <w:pStyle w:val="BodyText"/>
      </w:pPr>
      <w:r>
        <w:t xml:space="preserve">The gap: SCITT was designed for static, non-interactive artefacts. A software bill of materials does not argue back. SCITT has no dispute channel, no mechanism for marking a statement as contested, no reputation model, and no concept of agent coordination. Extending it with these primitives — rather than replacing it — is HyperMind’s architectural choice. The HyperMind wire format is a strict superset of a SCITT signed statement; any SCITT verifier can parse the outer envelope.</w:t>
      </w:r>
    </w:p>
    <w:bookmarkEnd w:id="12"/>
    <w:bookmarkStart w:id="13" w:name="federated-learning"/>
    <w:p>
      <w:pPr>
        <w:pStyle w:val="Heading3"/>
      </w:pPr>
      <w:r>
        <w:t xml:space="preserve">2.2 Federated Learning</w:t>
      </w:r>
    </w:p>
    <w:p>
      <w:pPr>
        <w:pStyle w:val="FirstParagraph"/>
      </w:pPr>
      <w:r>
        <w:t xml:space="preserve">McMahan et al. (2017) introduced Federated Averaging (FedAvg), which allows a population of clients to train a shared model without exchanging raw data. The framework has been extended by Flower, FATE, and others into production federated learning systems.</w:t>
      </w:r>
    </w:p>
    <w:p>
      <w:pPr>
        <w:pStyle w:val="BodyText"/>
      </w:pPr>
      <w:r>
        <w:t xml:space="preserve">The gap is fundamental: FedAvg requires a central aggregator. The aggregator knows which clients participated in each round, selects them, and combines their gradients. There is no provenance for individual client contributions, no cryptographic binding between a gradient and a client identity, and no mechanism for one client to contest another’s contribution. When an agent in a HyperMind network publishes a claim derived from local inference, the claim carries a signed envelope with full chain of custody. FedAvg gradients carry none of this. The two systems address different layers of the same problem, but only HyperMind addresses it from the trust layer downward.</w:t>
      </w:r>
    </w:p>
    <w:bookmarkEnd w:id="13"/>
    <w:bookmarkStart w:id="14" w:name="eigentrust-and-bayesian-reputation"/>
    <w:p>
      <w:pPr>
        <w:pStyle w:val="Heading3"/>
      </w:pPr>
      <w:r>
        <w:t xml:space="preserve">2.3 EigenTrust and Bayesian Reputation</w:t>
      </w:r>
    </w:p>
    <w:p>
      <w:pPr>
        <w:pStyle w:val="FirstParagraph"/>
      </w:pPr>
      <w:r>
        <w:t xml:space="preserve">Kamvar et al. (2003) proposed EigenTrust, a global scalar reputation system for peer-to-peer networks in which the reputation of each peer is computed as the principal eigenvector of the normalised trust matrix. It remains widely cited as a Sybil-resistance mechanism.</w:t>
      </w:r>
    </w:p>
    <w:p>
      <w:pPr>
        <w:pStyle w:val="BodyText"/>
      </w:pPr>
      <w:r>
        <w:t xml:space="preserve">Three gaps are relevant here. First, EigenTrust computes a single scalar per peer; HyperMind maintains a per-topic Beta posterior (α, β) per agent, allowing an agent to be highly trusted in threat intelligence and poorly trusted in financial forecasting simultaneously. Second, EigenTrust has no calibration concept; it does not distinguish between an agent who is consistently wrong-but-confident and one who is rarely correct but appropriately uncertain. Third, EigenTrust provides no formal Sybil cluster detection; a sufficiently large coordinated cluster can inflate each other’s scores. HyperMind’s diverse-quorum sealing requirement (cosine distance ≥ 0.3 between confirmer embeddings, EigenTrust mass-share cap ≤ 0.30 per confirmer) constrains cluster inflation structurally. Jøsang et al. (2007) survey a broader family of Bayesian reputation systems; HyperMind’s Beta posterior kernel sits in this family and adds the calibration gate and vouch-cap constraint as novel extensions.</w:t>
      </w:r>
    </w:p>
    <w:bookmarkEnd w:id="14"/>
    <w:bookmarkStart w:id="15" w:name="frost-threshold-signatures"/>
    <w:p>
      <w:pPr>
        <w:pStyle w:val="Heading3"/>
      </w:pPr>
      <w:r>
        <w:t xml:space="preserve">2.4 FROST Threshold Signatures</w:t>
      </w:r>
    </w:p>
    <w:p>
      <w:pPr>
        <w:pStyle w:val="FirstParagraph"/>
      </w:pPr>
      <w:r>
        <w:t xml:space="preserve">Komlo et al. (2020) specified FROST (Flexible Round-Optimised Schnorr Threshold), later standardised as RFC 9591. FROST enables a k-of-n threshold signing protocol with a single round of online interaction (after preprocessing) and security proven under the one-more discrete logarithm assumption. RFC 9591 specifies nonce generation procedures that participants must follow to maintain security; the standard’s nonce requirements are the primary defence against nonce-reuse attacks in the threshold setting.</w:t>
      </w:r>
    </w:p>
    <w:p>
      <w:pPr>
        <w:pStyle w:val="BodyText"/>
      </w:pPr>
      <w:r>
        <w:t xml:space="preserve">HyperMind uses FROST for two purposes: the governance council signing (a 7-of-9 threshold over the nine council-seat keys) and the witness cosigning quorum over Merkle tree roots. Neither use is novel — FROST is a well-specified primitive. HyperMind’s implementation adds a defence-in-depth layer on top of RFC 9591’s own nonce discipline: deterministic nonce derivation (no fresh entropy per signing round) combined with a bounded LRU transcript set (</w:t>
      </w:r>
      <w:r>
        <w:rPr>
          <w:rStyle w:val="VerbatimChar"/>
        </w:rPr>
        <w:t xml:space="preserve">_SEEN_TRANSCRIPTS</w:t>
      </w:r>
      <w:r>
        <w:t xml:space="preserve">, bounded at 65,536 entries in</w:t>
      </w:r>
      <w:r>
        <w:t xml:space="preserve"> </w:t>
      </w:r>
      <w:r>
        <w:rPr>
          <w:rStyle w:val="VerbatimChar"/>
        </w:rPr>
        <w:t xml:space="preserve">crypto/frost.py</w:t>
      </w:r>
      <w:r>
        <w:t xml:space="preserve">). This is not a claim to close a gap in the RFC; it is a belt-and-suspenders implementation choice that reduces exposure to nonce-reuse bugs in the reference SDK. Tests reset the transcript LRU between runs via a</w:t>
      </w:r>
      <w:r>
        <w:t xml:space="preserve"> </w:t>
      </w:r>
      <w:r>
        <w:rPr>
          <w:rStyle w:val="VerbatimChar"/>
        </w:rPr>
        <w:t xml:space="preserve">reset_seen_transcripts</w:t>
      </w:r>
      <w:r>
        <w:t xml:space="preserve"> </w:t>
      </w:r>
      <w:r>
        <w:t xml:space="preserve">fixture, ensuring test-order independence.</w:t>
      </w:r>
    </w:p>
    <w:p>
      <w:pPr>
        <w:pStyle w:val="BodyText"/>
      </w:pPr>
      <w:r>
        <w:t xml:space="preserve">The Drijvers et al. (2021) citation in earlier drafts was inaccurate as stated; that work addresses multi-signature constructions in the algebraic group model, not FROST threshold signatures specifically. We retain the citation only for its general treatment of nonce-reuse attacks in Schnorr-based constructions.</w:t>
      </w:r>
    </w:p>
    <w:bookmarkEnd w:id="15"/>
    <w:bookmarkStart w:id="16" w:name="byzantine-fault-tolerant-consensus"/>
    <w:p>
      <w:pPr>
        <w:pStyle w:val="Heading3"/>
      </w:pPr>
      <w:r>
        <w:t xml:space="preserve">2.5 Byzantine Fault-Tolerant Consensus</w:t>
      </w:r>
    </w:p>
    <w:p>
      <w:pPr>
        <w:pStyle w:val="FirstParagraph"/>
      </w:pPr>
      <w:r>
        <w:t xml:space="preserve">Castro &amp; Liskov (1999) introduced PBFT, a practically deployable Byzantine fault-tolerant state machine replication protocol. Yin et al. (2019) improved it with HotStuff, achieving linear communication complexity and an optimistic fast path. Both protocols are synchronous in the sense that they make progress assumptions about message delivery timing; HotStuff’s liveness proof requires a partial synchrony model.</w:t>
      </w:r>
    </w:p>
    <w:p>
      <w:pPr>
        <w:pStyle w:val="BodyText"/>
      </w:pPr>
      <w:r>
        <w:t xml:space="preserve">HyperMind makes a different trade-off: eventual consistency with causal ordering rather than total ordering under synchrony. The Hybrid Logical Clock (HLC) provides causal ordering without a global coordinator;</w:t>
      </w:r>
      <w:r>
        <w:t xml:space="preserve"> </w:t>
      </w:r>
      <w:r>
        <w:rPr>
          <w:rStyle w:val="VerbatimChar"/>
        </w:rPr>
        <w:t xml:space="preserve">merge()</w:t>
      </w:r>
      <w:r>
        <w:t xml:space="preserve"> </w:t>
      </w:r>
      <w:r>
        <w:t xml:space="preserve">clamps incoming timestamps and rejects those beyond 2× HLC_MAX_SKEW_MS. This allows HyperMind to operate in asynchronous network conditions at the cost of settlement latency (minutes, not sub-second). The dispute FSM provides a bounded resolution channel; claims that cannot be resolved within the FSM terminate in UNRESOLVED_PARTITION rather than hanging indefinitely. For applications that require sub-second finality, PBFT/HotStuff remains appropriate; HyperMind targets settings where asynchronous operation and censorship resistance matter more than latency.</w:t>
      </w:r>
    </w:p>
    <w:bookmarkEnd w:id="16"/>
    <w:bookmarkStart w:id="17" w:name="capability-tokens"/>
    <w:p>
      <w:pPr>
        <w:pStyle w:val="Heading3"/>
      </w:pPr>
      <w:r>
        <w:t xml:space="preserve">2.6 Capability Tokens</w:t>
      </w:r>
    </w:p>
    <w:p>
      <w:pPr>
        <w:pStyle w:val="FirstParagraph"/>
      </w:pPr>
      <w:r>
        <w:t xml:space="preserve">Biscuit and UCAN are two contemporary capability token systems with unforgeable attenuation chains. Both allow a principal to delegate a subset of its authority by appending a signed caveat to a token; neither allows widening of delegated authority.</w:t>
      </w:r>
    </w:p>
    <w:p>
      <w:pPr>
        <w:pStyle w:val="BodyText"/>
      </w:pPr>
      <w:r>
        <w:t xml:space="preserve">HyperMind adopts the same core design (caveat chain, no widening) and adds two extensions not present in either Biscuit or UCAN. First, epoch-based revocation: each token carries an epoch field, and a revocation record published at epoch E invalidates all tokens issued before E for that subject. Second, fail-closed partition safety: a verifier that cannot reach the revocation service within a configurable grace period must reject the token, not accept it. The invariant A-TOMB-REVOKE-DISJOINT formalises the property that no token can be simultaneously active and revoked; the epoch mechanism ensures this holds across network partitions by construction.</w:t>
      </w:r>
    </w:p>
    <w:bookmarkEnd w:id="17"/>
    <w:bookmarkStart w:id="18" w:name="swarm-intelligence"/>
    <w:p>
      <w:pPr>
        <w:pStyle w:val="Heading3"/>
      </w:pPr>
      <w:r>
        <w:t xml:space="preserve">2.7 Swarm Intelligence</w:t>
      </w:r>
    </w:p>
    <w:p>
      <w:pPr>
        <w:pStyle w:val="FirstParagraph"/>
      </w:pPr>
      <w:r>
        <w:t xml:space="preserve">Particle swarm optimisation, stigmergy, and related swarm-intelligence frameworks achieve emergent group behaviour through local interaction rules with no central coordinator. These frameworks are influential in multi-agent systems research.</w:t>
      </w:r>
    </w:p>
    <w:p>
      <w:pPr>
        <w:pStyle w:val="BodyText"/>
      </w:pPr>
      <w:r>
        <w:t xml:space="preserve">The gap for agent AI networks is total: swarm intelligence frameworks have no cryptographic trust model. Any agent can inject a false signal; there is no way to detect or penalise it. HyperMind’s mind layer (§3.7) implements information-gain planning, role specialisation, and anti-herding diversity metrics on top of the trust substrate defined in §3.1–3.6. Swarm deliberation in HyperMind is not a replacement for cryptographic trust; it is a layer that operates only on claims that have cleared the sealing, calibration, and reputation gates.</w:t>
      </w:r>
    </w:p>
    <w:p>
      <w:pPr>
        <w:pStyle w:val="BodyText"/>
      </w:pPr>
      <w:r>
        <w:t xml:space="preserve">More recent work in multi-agent reinforcement learning (MARL) and language model agent coordination (ReAct, Reflexion, AutoGen) demonstrates that autonomous agents can coordinate on complex tasks through prompt-based protocols. These frameworks, however, operate over mutable shared state with no chain of custody — a language model agent’s output carries no cryptographic provenance. HyperMind’s mind layer is distinguished not by its deliberation primitives (which are recognisable as BDI-style goal-directed reasoning) but by its requirement that all deliberated claims be published as CITEABLE sealed entries before influencing downstream agents. This makes swarm coordination auditable post-hoc in a way that MARL and prompt-chain approaches are not.</w:t>
      </w:r>
    </w:p>
    <w:p>
      <w:r>
        <w:pict>
          <v:rect style="width:0;height:1.5pt" o:hralign="center" o:hrstd="t" o:hr="t"/>
        </w:pict>
      </w:r>
    </w:p>
    <w:bookmarkEnd w:id="18"/>
    <w:bookmarkEnd w:id="19"/>
    <w:bookmarkStart w:id="27" w:name="protocol-design"/>
    <w:p>
      <w:pPr>
        <w:pStyle w:val="Heading2"/>
      </w:pPr>
      <w:r>
        <w:t xml:space="preserve">3. Protocol Design</w:t>
      </w:r>
    </w:p>
    <w:bookmarkStart w:id="20" w:name="Xec23452e57542fa5251a8604acd89d56ed27cfb"/>
    <w:p>
      <w:pPr>
        <w:pStyle w:val="Heading3"/>
      </w:pPr>
      <w:r>
        <w:t xml:space="preserve">3.1 Wire Format and Domain Separation (A-ALG-BOUND, WF-DOMAIN)</w:t>
      </w:r>
    </w:p>
    <w:p>
      <w:pPr>
        <w:pStyle w:val="FirstParagraph"/>
      </w:pPr>
      <w:r>
        <w:t xml:space="preserve">Every HyperMind message — claim, dispute, receipt, revocation record, capability token — rides in a</w:t>
      </w:r>
      <w:r>
        <w:t xml:space="preserve"> </w:t>
      </w:r>
      <w:r>
        <w:rPr>
          <w:rStyle w:val="VerbatimChar"/>
        </w:rPr>
        <w:t xml:space="preserve">SignedStatement</w:t>
      </w:r>
      <w:r>
        <w:t xml:space="preserve"> </w:t>
      </w:r>
      <w:r>
        <w:t xml:space="preserve">envelope. The envelope is a COSE_Sign1 structure (Schaad et al., 2022) with a protected header that MUST contain the following discriminators:</w:t>
      </w:r>
      <w:r>
        <w:t xml:space="preserve"> </w:t>
      </w:r>
      <w:r>
        <w:rPr>
          <w:rStyle w:val="VerbatimChar"/>
        </w:rPr>
        <w:t xml:space="preserve">record_type</w:t>
      </w:r>
      <w:r>
        <w:t xml:space="preserve">,</w:t>
      </w:r>
      <w:r>
        <w:t xml:space="preserve"> </w:t>
      </w:r>
      <w:r>
        <w:rPr>
          <w:rStyle w:val="VerbatimChar"/>
        </w:rPr>
        <w:t xml:space="preserve">namespace_id</w:t>
      </w:r>
      <w:r>
        <w:t xml:space="preserve">,</w:t>
      </w:r>
      <w:r>
        <w:t xml:space="preserve"> </w:t>
      </w:r>
      <w:r>
        <w:rPr>
          <w:rStyle w:val="VerbatimChar"/>
        </w:rPr>
        <w:t xml:space="preserve">hlc</w:t>
      </w:r>
      <w:r>
        <w:t xml:space="preserve"> </w:t>
      </w:r>
      <w:r>
        <w:t xml:space="preserve">(Hybrid Logical Clock value),</w:t>
      </w:r>
      <w:r>
        <w:t xml:space="preserve"> </w:t>
      </w:r>
      <w:r>
        <w:rPr>
          <w:rStyle w:val="VerbatimChar"/>
        </w:rPr>
        <w:t xml:space="preserve">wire_version</w:t>
      </w:r>
      <w:r>
        <w:t xml:space="preserve">,</w:t>
      </w:r>
      <w:r>
        <w:t xml:space="preserve"> </w:t>
      </w:r>
      <w:r>
        <w:rPr>
          <w:rStyle w:val="VerbatimChar"/>
        </w:rPr>
        <w:t xml:space="preserve">signature_alg</w:t>
      </w:r>
      <w:r>
        <w:t xml:space="preserve">,</w:t>
      </w:r>
      <w:r>
        <w:t xml:space="preserve"> </w:t>
      </w:r>
      <w:r>
        <w:rPr>
          <w:rStyle w:val="VerbatimChar"/>
        </w:rPr>
        <w:t xml:space="preserve">envelope_schema_hash</w:t>
      </w:r>
      <w:r>
        <w:t xml:space="preserve">, and</w:t>
      </w:r>
      <w:r>
        <w:t xml:space="preserve"> </w:t>
      </w:r>
      <w:r>
        <w:rPr>
          <w:rStyle w:val="VerbatimChar"/>
        </w:rPr>
        <w:t xml:space="preserve">pq_required</w:t>
      </w:r>
      <w:r>
        <w:t xml:space="preserve">. These fields are collectively called the</w:t>
      </w:r>
      <w:r>
        <w:t xml:space="preserve"> </w:t>
      </w:r>
      <w:r>
        <w:rPr>
          <w:b/>
          <w:bCs/>
        </w:rPr>
        <w:t xml:space="preserve">bound discriminators</w:t>
      </w:r>
      <w:r>
        <w:t xml:space="preserve">.</w:t>
      </w:r>
    </w:p>
    <w:p>
      <w:pPr>
        <w:pStyle w:val="BodyText"/>
      </w:pPr>
      <w:r>
        <w:t xml:space="preserve">The load-bearing security property is</w:t>
      </w:r>
      <w:r>
        <w:t xml:space="preserve"> </w:t>
      </w:r>
      <w:r>
        <w:rPr>
          <w:b/>
          <w:bCs/>
        </w:rPr>
        <w:t xml:space="preserve">A-ALG-BOUND</w:t>
      </w:r>
      <w:r>
        <w:t xml:space="preserve">: the canonical CBOR re-encoding of the protected header (Bormann &amp; Hoffman, 2020) must equal the wire bytes, and this check is performed by</w:t>
      </w:r>
      <w:r>
        <w:t xml:space="preserve"> </w:t>
      </w:r>
      <w:r>
        <w:rPr>
          <w:rStyle w:val="VerbatimChar"/>
        </w:rPr>
        <w:t xml:space="preserve">from_bytes()</w:t>
      </w:r>
      <w:r>
        <w:t xml:space="preserve"> </w:t>
      </w:r>
      <w:r>
        <w:rPr>
          <w:b/>
          <w:bCs/>
        </w:rPr>
        <w:t xml:space="preserve">before</w:t>
      </w:r>
      <w:r>
        <w:t xml:space="preserve"> </w:t>
      </w:r>
      <w:r>
        <w:t xml:space="preserve">signature verification. The ordering is critical. If the canonical-encoding check were performed after signature verification, a malicious envelope with a non-canonical header encoding could pass verification with a key that does not match the stated algorithm — the wire-format analogue of the JWT alg=none vulnerability. By checking canonical encoding first,</w:t>
      </w:r>
      <w:r>
        <w:t xml:space="preserve"> </w:t>
      </w:r>
      <w:r>
        <w:rPr>
          <w:rStyle w:val="VerbatimChar"/>
        </w:rPr>
        <w:t xml:space="preserve">from_bytes()</w:t>
      </w:r>
      <w:r>
        <w:t xml:space="preserve"> </w:t>
      </w:r>
      <w:r>
        <w:t xml:space="preserve">ensures the verified bytes are exactly the bytes the signer committed to.</w:t>
      </w:r>
    </w:p>
    <w:p>
      <w:pPr>
        <w:pStyle w:val="BodyText"/>
      </w:pPr>
      <w:r>
        <w:t xml:space="preserve">Domain separation is implemented via the</w:t>
      </w:r>
      <w:r>
        <w:t xml:space="preserve"> </w:t>
      </w:r>
      <w:r>
        <w:rPr>
          <w:b/>
          <w:bCs/>
        </w:rPr>
        <w:t xml:space="preserve">WF-DOMAIN</w:t>
      </w:r>
      <w:r>
        <w:t xml:space="preserve"> </w:t>
      </w:r>
      <w:r>
        <w:t xml:space="preserve">refinement lemma. Every cryptographic operation in the SDK prefixes its preimage with a one-byte domain tag drawn from the</w:t>
      </w:r>
      <w:r>
        <w:t xml:space="preserve"> </w:t>
      </w:r>
      <w:r>
        <w:rPr>
          <w:rStyle w:val="VerbatimChar"/>
        </w:rPr>
        <w:t xml:space="preserve">DomainTag</w:t>
      </w:r>
      <w:r>
        <w:t xml:space="preserve"> </w:t>
      </w:r>
      <w:r>
        <w:t xml:space="preserve">enum. The tags are: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Tag</w:t>
            </w:r>
          </w:p>
        </w:tc>
        <w:tc>
          <w:tcPr/>
          <w:p>
            <w:pPr>
              <w:pStyle w:val="Compact"/>
            </w:pPr>
            <w:r>
              <w:t xml:space="preserve">Value</w:t>
            </w:r>
          </w:p>
        </w:tc>
        <w:tc>
          <w:tcPr/>
          <w:p>
            <w:pPr>
              <w:pStyle w:val="Compact"/>
            </w:pPr>
            <w:r>
              <w:t xml:space="preserve">Operation</w:t>
            </w:r>
          </w:p>
        </w:tc>
      </w:tr>
      <w:tr>
        <w:tc>
          <w:tcPr/>
          <w:p>
            <w:pPr>
              <w:pStyle w:val="Compact"/>
            </w:pPr>
            <w:r>
              <w:t xml:space="preserve">CLAIM_SIGN</w:t>
            </w:r>
          </w:p>
        </w:tc>
        <w:tc>
          <w:tcPr/>
          <w:p>
            <w:pPr>
              <w:pStyle w:val="Compact"/>
            </w:pPr>
            <w:r>
              <w:t xml:space="preserve">0x01</w:t>
            </w:r>
          </w:p>
        </w:tc>
        <w:tc>
          <w:tcPr/>
          <w:p>
            <w:pPr>
              <w:pStyle w:val="Compact"/>
            </w:pPr>
            <w:r>
              <w:t xml:space="preserve">Claim signature preimage</w:t>
            </w:r>
          </w:p>
        </w:tc>
      </w:tr>
      <w:tr>
        <w:tc>
          <w:tcPr/>
          <w:p>
            <w:pPr>
              <w:pStyle w:val="Compact"/>
            </w:pPr>
            <w:r>
              <w:t xml:space="preserve">DISPUTE_BOND</w:t>
            </w:r>
          </w:p>
        </w:tc>
        <w:tc>
          <w:tcPr/>
          <w:p>
            <w:pPr>
              <w:pStyle w:val="Compact"/>
            </w:pPr>
            <w:r>
              <w:t xml:space="preserve">0x02</w:t>
            </w:r>
          </w:p>
        </w:tc>
        <w:tc>
          <w:tcPr/>
          <w:p>
            <w:pPr>
              <w:pStyle w:val="Compact"/>
            </w:pPr>
            <w:r>
              <w:t xml:space="preserve">Dispute bond commitment</w:t>
            </w:r>
          </w:p>
        </w:tc>
      </w:tr>
      <w:tr>
        <w:tc>
          <w:tcPr/>
          <w:p>
            <w:pPr>
              <w:pStyle w:val="Compact"/>
            </w:pPr>
            <w:r>
              <w:t xml:space="preserve">RECEIPT_COSIGN</w:t>
            </w:r>
          </w:p>
        </w:tc>
        <w:tc>
          <w:tcPr/>
          <w:p>
            <w:pPr>
              <w:pStyle w:val="Compact"/>
            </w:pPr>
            <w:r>
              <w:t xml:space="preserve">0x03</w:t>
            </w:r>
          </w:p>
        </w:tc>
        <w:tc>
          <w:tcPr/>
          <w:p>
            <w:pPr>
              <w:pStyle w:val="Compact"/>
            </w:pPr>
            <w:r>
              <w:t xml:space="preserve">Transparency receipt cosignature</w:t>
            </w:r>
          </w:p>
        </w:tc>
      </w:tr>
      <w:tr>
        <w:tc>
          <w:tcPr/>
          <w:p>
            <w:pPr>
              <w:pStyle w:val="Compact"/>
            </w:pPr>
            <w:r>
              <w:t xml:space="preserve">REVOCATION</w:t>
            </w:r>
          </w:p>
        </w:tc>
        <w:tc>
          <w:tcPr/>
          <w:p>
            <w:pPr>
              <w:pStyle w:val="Compact"/>
            </w:pPr>
            <w:r>
              <w:t xml:space="preserve">0x04</w:t>
            </w:r>
          </w:p>
        </w:tc>
        <w:tc>
          <w:tcPr/>
          <w:p>
            <w:pPr>
              <w:pStyle w:val="Compact"/>
            </w:pPr>
            <w:r>
              <w:t xml:space="preserve">Revocation list entry</w:t>
            </w:r>
          </w:p>
        </w:tc>
      </w:tr>
      <w:tr>
        <w:tc>
          <w:tcPr/>
          <w:p>
            <w:pPr>
              <w:pStyle w:val="Compact"/>
            </w:pPr>
            <w:r>
              <w:t xml:space="preserve">CAP_TOKEN</w:t>
            </w:r>
          </w:p>
        </w:tc>
        <w:tc>
          <w:tcPr/>
          <w:p>
            <w:pPr>
              <w:pStyle w:val="Compact"/>
            </w:pPr>
            <w:r>
              <w:t xml:space="preserve">0x05</w:t>
            </w:r>
          </w:p>
        </w:tc>
        <w:tc>
          <w:tcPr/>
          <w:p>
            <w:pPr>
              <w:pStyle w:val="Compact"/>
            </w:pPr>
            <w:r>
              <w:t xml:space="preserve">Capability token body</w:t>
            </w:r>
          </w:p>
        </w:tc>
      </w:tr>
      <w:tr>
        <w:tc>
          <w:tcPr/>
          <w:p>
            <w:pPr>
              <w:pStyle w:val="Compact"/>
            </w:pPr>
            <w:r>
              <w:t xml:space="preserve">CAP_ATTENUATION</w:t>
            </w:r>
          </w:p>
        </w:tc>
        <w:tc>
          <w:tcPr/>
          <w:p>
            <w:pPr>
              <w:pStyle w:val="Compact"/>
            </w:pPr>
            <w:r>
              <w:t xml:space="preserve">0x06</w:t>
            </w:r>
          </w:p>
        </w:tc>
        <w:tc>
          <w:tcPr/>
          <w:p>
            <w:pPr>
              <w:pStyle w:val="Compact"/>
            </w:pPr>
            <w:r>
              <w:t xml:space="preserve">Capability attenuation caveat</w:t>
            </w:r>
          </w:p>
        </w:tc>
      </w:tr>
      <w:tr>
        <w:tc>
          <w:tcPr/>
          <w:p>
            <w:pPr>
              <w:pStyle w:val="Compact"/>
            </w:pPr>
            <w:r>
              <w:t xml:space="preserve">VOUCH</w:t>
            </w:r>
          </w:p>
        </w:tc>
        <w:tc>
          <w:tcPr/>
          <w:p>
            <w:pPr>
              <w:pStyle w:val="Compact"/>
            </w:pPr>
            <w:r>
              <w:t xml:space="preserve">0x07</w:t>
            </w:r>
          </w:p>
        </w:tc>
        <w:tc>
          <w:tcPr/>
          <w:p>
            <w:pPr>
              <w:pStyle w:val="Compact"/>
            </w:pPr>
            <w:r>
              <w:t xml:space="preserve">Reputation vouch commitment</w:t>
            </w:r>
          </w:p>
        </w:tc>
      </w:tr>
      <w:tr>
        <w:tc>
          <w:tcPr/>
          <w:p>
            <w:pPr>
              <w:pStyle w:val="Compact"/>
            </w:pPr>
            <w:r>
              <w:t xml:space="preserve">HLC_MERGE</w:t>
            </w:r>
          </w:p>
        </w:tc>
        <w:tc>
          <w:tcPr/>
          <w:p>
            <w:pPr>
              <w:pStyle w:val="Compact"/>
            </w:pPr>
            <w:r>
              <w:t xml:space="preserve">0x08</w:t>
            </w:r>
          </w:p>
        </w:tc>
        <w:tc>
          <w:tcPr/>
          <w:p>
            <w:pPr>
              <w:pStyle w:val="Compact"/>
            </w:pPr>
            <w:r>
              <w:t xml:space="preserve">HLC merge preimage</w:t>
            </w:r>
          </w:p>
        </w:tc>
      </w:tr>
      <w:tr>
        <w:tc>
          <w:tcPr/>
          <w:p>
            <w:pPr>
              <w:pStyle w:val="Compact"/>
            </w:pPr>
            <w:r>
              <w:t xml:space="preserve">FROST_NONCE</w:t>
            </w:r>
          </w:p>
        </w:tc>
        <w:tc>
          <w:tcPr/>
          <w:p>
            <w:pPr>
              <w:pStyle w:val="Compact"/>
            </w:pPr>
            <w:r>
              <w:t xml:space="preserve">0x09</w:t>
            </w:r>
          </w:p>
        </w:tc>
        <w:tc>
          <w:tcPr/>
          <w:p>
            <w:pPr>
              <w:pStyle w:val="Compact"/>
            </w:pPr>
            <w:r>
              <w:t xml:space="preserve">FROST nonce commitment</w:t>
            </w:r>
          </w:p>
        </w:tc>
      </w:tr>
      <w:tr>
        <w:tc>
          <w:tcPr/>
          <w:p>
            <w:pPr>
              <w:pStyle w:val="Compact"/>
            </w:pPr>
            <w:r>
              <w:t xml:space="preserve">FROST_BINDING</w:t>
            </w:r>
          </w:p>
        </w:tc>
        <w:tc>
          <w:tcPr/>
          <w:p>
            <w:pPr>
              <w:pStyle w:val="Compact"/>
            </w:pPr>
            <w:r>
              <w:t xml:space="preserve">0x0A</w:t>
            </w:r>
          </w:p>
        </w:tc>
        <w:tc>
          <w:tcPr/>
          <w:p>
            <w:pPr>
              <w:pStyle w:val="Compact"/>
            </w:pPr>
            <w:r>
              <w:t xml:space="preserve">FROST binding factor</w:t>
            </w:r>
          </w:p>
        </w:tc>
      </w:tr>
      <w:tr>
        <w:tc>
          <w:tcPr/>
          <w:p>
            <w:pPr>
              <w:pStyle w:val="Compact"/>
            </w:pPr>
            <w:r>
              <w:t xml:space="preserve">ANTI_ENTROPY</w:t>
            </w:r>
          </w:p>
        </w:tc>
        <w:tc>
          <w:tcPr/>
          <w:p>
            <w:pPr>
              <w:pStyle w:val="Compact"/>
            </w:pPr>
            <w:r>
              <w:t xml:space="preserve">0x0B</w:t>
            </w:r>
          </w:p>
        </w:tc>
        <w:tc>
          <w:tcPr/>
          <w:p>
            <w:pPr>
              <w:pStyle w:val="Compact"/>
            </w:pPr>
            <w:r>
              <w:t xml:space="preserve">Anti-entropy Bloom seed</w:t>
            </w:r>
          </w:p>
        </w:tc>
      </w:tr>
      <w:tr>
        <w:tc>
          <w:tcPr/>
          <w:p>
            <w:pPr>
              <w:pStyle w:val="Compact"/>
            </w:pPr>
            <w:r>
              <w:t xml:space="preserve">ANCHOR</w:t>
            </w:r>
          </w:p>
        </w:tc>
        <w:tc>
          <w:tcPr/>
          <w:p>
            <w:pPr>
              <w:pStyle w:val="Compact"/>
            </w:pPr>
            <w:r>
              <w:t xml:space="preserve">0x0C</w:t>
            </w:r>
          </w:p>
        </w:tc>
        <w:tc>
          <w:tcPr/>
          <w:p>
            <w:pPr>
              <w:pStyle w:val="Compact"/>
            </w:pPr>
            <w:r>
              <w:t xml:space="preserve">Namespace anchor commitment</w:t>
            </w:r>
          </w:p>
        </w:tc>
      </w:tr>
      <w:tr>
        <w:tc>
          <w:tcPr/>
          <w:p>
            <w:pPr>
              <w:pStyle w:val="Compact"/>
            </w:pPr>
            <w:r>
              <w:t xml:space="preserve">KNOWS_DELTA</w:t>
            </w:r>
          </w:p>
        </w:tc>
        <w:tc>
          <w:tcPr/>
          <w:p>
            <w:pPr>
              <w:pStyle w:val="Compact"/>
            </w:pPr>
            <w:r>
              <w:t xml:space="preserve">0x18</w:t>
            </w:r>
          </w:p>
        </w:tc>
        <w:tc>
          <w:tcPr/>
          <w:p>
            <w:pPr>
              <w:pStyle w:val="Compact"/>
            </w:pPr>
            <w:r>
              <w:t xml:space="preserve">Reputation delta gossip seed</w:t>
            </w:r>
          </w:p>
        </w:tc>
      </w:tr>
    </w:tbl>
    <w:p>
      <w:pPr>
        <w:pStyle w:val="BodyText"/>
      </w:pPr>
      <w:r>
        <w:t xml:space="preserve">Without domain separation, a signature over a claim body could, in principle, be replayed as a vouch or a dispute bond commitment if the byte-length and structure happen to coincide. WF-DOMAIN makes this impossible: the tag byte is the first byte of every preimage, and no two operations share a tag.</w:t>
      </w:r>
    </w:p>
    <w:p>
      <w:pPr>
        <w:pStyle w:val="BodyText"/>
      </w:pPr>
      <w:r>
        <w:t xml:space="preserve">The</w:t>
      </w:r>
      <w:r>
        <w:t xml:space="preserve"> </w:t>
      </w:r>
      <w:r>
        <w:rPr>
          <w:rStyle w:val="VerbatimChar"/>
        </w:rPr>
        <w:t xml:space="preserve">kid</w:t>
      </w:r>
      <w:r>
        <w:t xml:space="preserve"> </w:t>
      </w:r>
      <w:r>
        <w:t xml:space="preserve">field is always the 32-byte Ed25519 public key half. This invariant is maintained across the v0.1 → v0.2 algorithm upgrade (which adds the ML-DSA-65 composite per FIPS 204 and draft-ietf-lamps-pq-composite-sigs-16, Ounsworth et al., 2023): the composite key bundles Ed25519 + ML-DSA-65, but the</w:t>
      </w:r>
      <w:r>
        <w:t xml:space="preserve"> </w:t>
      </w:r>
      <w:r>
        <w:rPr>
          <w:rStyle w:val="VerbatimChar"/>
        </w:rPr>
        <w:t xml:space="preserve">kid</w:t>
      </w:r>
      <w:r>
        <w:t xml:space="preserve"> </w:t>
      </w:r>
      <w:r>
        <w:t xml:space="preserve">remains the Ed25519 component so that agent addresses are stable across the upgrade. If Ed25519 is computationally broken,</w:t>
      </w:r>
      <w:r>
        <w:t xml:space="preserve"> </w:t>
      </w:r>
      <w:r>
        <w:rPr>
          <w:rStyle w:val="VerbatimChar"/>
        </w:rPr>
        <w:t xml:space="preserve">kid</w:t>
      </w:r>
      <w:r>
        <w:t xml:space="preserve"> </w:t>
      </w:r>
      <w:r>
        <w:t xml:space="preserve">values derived from Ed25519 public keys become untrusted; the v0.2 upgrade path provides a SEAL_REVOKE mechanism that allows the governance council to revoke receipts issued under compromised</w:t>
      </w:r>
      <w:r>
        <w:t xml:space="preserve"> </w:t>
      </w:r>
      <w:r>
        <w:rPr>
          <w:rStyle w:val="VerbatimChar"/>
        </w:rPr>
        <w:t xml:space="preserve">kid</w:t>
      </w:r>
      <w:r>
        <w:t xml:space="preserve"> </w:t>
      </w:r>
      <w:r>
        <w:t xml:space="preserve">values and re-anchor them under the post-quantum composite key, at the cost of re-sealing all affected claims.</w:t>
      </w:r>
    </w:p>
    <w:p>
      <w:pPr>
        <w:pStyle w:val="BodyText"/>
      </w:pPr>
      <w:r>
        <w:t xml:space="preserve">[FIGURE 1: Wire format anatomy — COSE_Sign1 envelope with protected header discriminators highlighted, A-ALG-BOUND check sequence shown before signature verification]</w:t>
      </w:r>
    </w:p>
    <w:bookmarkEnd w:id="20"/>
    <w:bookmarkStart w:id="21" w:name="X0fd7da8cb25197822cd0513a8b75f9f4dd45c6e"/>
    <w:p>
      <w:pPr>
        <w:pStyle w:val="Heading3"/>
      </w:pPr>
      <w:r>
        <w:t xml:space="preserve">3.2 Knowledge Lifecycle: Draft → Sealed → Citeable (P-MONO, A-SEAL-ATOMIC)</w:t>
      </w:r>
    </w:p>
    <w:p>
      <w:pPr>
        <w:pStyle w:val="FirstParagraph"/>
      </w:pPr>
      <w:r>
        <w:t xml:space="preserve">A claim in HyperMind passes through three states:</w:t>
      </w:r>
      <w:r>
        <w:t xml:space="preserve"> </w:t>
      </w:r>
      <w:r>
        <w:rPr>
          <w:b/>
          <w:bCs/>
        </w:rPr>
        <w:t xml:space="preserve">DRAFT</w:t>
      </w:r>
      <w:r>
        <w:t xml:space="preserve">,</w:t>
      </w:r>
      <w:r>
        <w:t xml:space="preserve"> </w:t>
      </w:r>
      <w:r>
        <w:rPr>
          <w:b/>
          <w:bCs/>
        </w:rPr>
        <w:t xml:space="preserve">SEALED</w:t>
      </w:r>
      <w:r>
        <w:t xml:space="preserve">, and</w:t>
      </w:r>
      <w:r>
        <w:t xml:space="preserve"> </w:t>
      </w:r>
      <w:r>
        <w:rPr>
          <w:b/>
          <w:bCs/>
        </w:rPr>
        <w:t xml:space="preserve">CITEABLE</w:t>
      </w:r>
      <w:r>
        <w:t xml:space="preserve">. The lifecycle is strictly monotone: a claim cannot move from SEALED back to DRAFT, and a CITEABLE claim cannot be retracted (only disputed). This is formalised as invariant</w:t>
      </w:r>
      <w:r>
        <w:t xml:space="preserve"> </w:t>
      </w:r>
      <w:r>
        <w:rPr>
          <w:b/>
          <w:bCs/>
        </w:rPr>
        <w:t xml:space="preserve">P-MONO</w:t>
      </w:r>
      <w:r>
        <w:t xml:space="preserve">.</w:t>
      </w:r>
    </w:p>
    <w:p>
      <w:pPr>
        <w:pStyle w:val="BodyText"/>
      </w:pPr>
      <w:r>
        <w:t xml:space="preserve">Sealing is not self-certification. An agent publishes a DRAFT claim and requests confirmation from a quorum of peer agents. The</w:t>
      </w:r>
      <w:r>
        <w:t xml:space="preserve"> </w:t>
      </w:r>
      <w:r>
        <w:rPr>
          <w:b/>
          <w:bCs/>
        </w:rPr>
        <w:t xml:space="preserve">diverse-quorum sealing</w:t>
      </w:r>
      <w:r>
        <w:t xml:space="preserve"> </w:t>
      </w:r>
      <w:r>
        <w:t xml:space="preserve">requirement imposes four constraints on the confirmer set:</w:t>
      </w:r>
    </w:p>
    <w:p>
      <w:pPr>
        <w:numPr>
          <w:ilvl w:val="0"/>
          <w:numId w:val="1003"/>
        </w:numPr>
      </w:pPr>
      <w:r>
        <w:rPr>
          <w:b/>
          <w:bCs/>
        </w:rPr>
        <w:t xml:space="preserve">Cosine distance ≥ 0.3</w:t>
      </w:r>
      <w:r>
        <w:t xml:space="preserve">: the confirmer’s claim-topic embedding must be at least 0.3 cosine distance from every other confirmer’s embedding. This prevents a cluster of agents with homogeneous views from sealing a claim without dissent.</w:t>
      </w:r>
    </w:p>
    <w:p>
      <w:pPr>
        <w:numPr>
          <w:ilvl w:val="0"/>
          <w:numId w:val="1003"/>
        </w:numPr>
      </w:pPr>
      <w:r>
        <w:rPr>
          <w:b/>
          <w:bCs/>
        </w:rPr>
        <w:t xml:space="preserve">Distinct vouch-root paths</w:t>
      </w:r>
      <w:r>
        <w:t xml:space="preserve">: no two confirmers may share the same leaf in the vouching DAG — equivalently, they must have been vouched into the network by different paths. This prevents a single Sybil operator from registering multiple confirmers under a single sponsoring key.</w:t>
      </w:r>
    </w:p>
    <w:p>
      <w:pPr>
        <w:numPr>
          <w:ilvl w:val="0"/>
          <w:numId w:val="1003"/>
        </w:numPr>
      </w:pPr>
      <w:r>
        <w:rPr>
          <w:b/>
          <w:bCs/>
        </w:rPr>
        <w:t xml:space="preserve">EigenTrust mass-share cap ≤ 0.30</w:t>
      </w:r>
      <w:r>
        <w:t xml:space="preserve">: no single confirmer may contribute more than 30% of the total EigenTrust reputation mass in the quorum (Kamvar et al., 2003). This prevents a single high-reputation agent from dominating every sealing decision.</w:t>
      </w:r>
    </w:p>
    <w:p>
      <w:pPr>
        <w:numPr>
          <w:ilvl w:val="0"/>
          <w:numId w:val="1003"/>
        </w:numPr>
      </w:pPr>
      <w:r>
        <w:rPr>
          <w:b/>
          <w:bCs/>
        </w:rPr>
        <w:t xml:space="preserve">Per-topic rolling correctness ≥ 0.85 over 200 claims</w:t>
      </w:r>
      <w:r>
        <w:t xml:space="preserve">: each confirmer must have confirmed at least 200 claims on the topic and maintained correctness above 0.85 in the trailing window.</w:t>
      </w:r>
    </w:p>
    <w:p>
      <w:pPr>
        <w:pStyle w:val="FirstParagraph"/>
      </w:pPr>
      <w:r>
        <w:t xml:space="preserve">In practice, EigenTrust mass shares are computed over each agent’s local trust subgraph — the set of agents reachable via the gossip anti-entropy protocol within the current partition. Local mass-share computations may diverge across partitions; the protocol resolves this via conservative quorum semantics: a confirmer is accepted only if their local EigenTrust mass share is ≤ 0.30 in the view of the agent proposing the seal. Post-partition, agents re-evaluate the confirmer set against their updated global view; if a previously accepted confirmer now exceeds the cap in the merged view, the seal is flagged for review (A-EIGEN-STABLE). This is an acknowledged limitation: sealing decisions are locally consistent but globally approximate under partition. Full global consistency requires the network to have healed and anti-entropy to have converged.</w:t>
      </w:r>
    </w:p>
    <w:p>
      <w:pPr>
        <w:pStyle w:val="BodyText"/>
      </w:pPr>
      <w:r>
        <w:rPr>
          <w:b/>
          <w:bCs/>
        </w:rPr>
        <w:t xml:space="preserve">Bootstrapping.</w:t>
      </w:r>
      <w:r>
        <w:t xml:space="preserve"> </w:t>
      </w:r>
      <w:r>
        <w:t xml:space="preserve">In a fresh namespace where no agent has accumulated 200 claims, the per-topic correctness window requirement is waived; the bootstrapping phase uses a relaxed gate: ≥ 5 confirmers with distinct vouch-root paths and cosine distance ≥ 0.3, without the correctness threshold. The bootstrapping phase ends when the namespace has at least 200 sealed claims per active topic, at which point the full gate applies.</w:t>
      </w:r>
    </w:p>
    <w:p>
      <w:pPr>
        <w:pStyle w:val="BodyText"/>
      </w:pPr>
      <w:r>
        <w:t xml:space="preserve">The</w:t>
      </w:r>
      <w:r>
        <w:t xml:space="preserve"> </w:t>
      </w:r>
      <w:r>
        <w:rPr>
          <w:b/>
          <w:bCs/>
        </w:rPr>
        <w:t xml:space="preserve">A-SEAL-ATOMIC</w:t>
      </w:r>
      <w:r>
        <w:t xml:space="preserve"> </w:t>
      </w:r>
      <w:r>
        <w:t xml:space="preserve">invariant states that the transition from DRAFT to SEALED is atomic with respect to the Merkle tree: the claim is appended and the root cosigned in a single</w:t>
      </w:r>
      <w:r>
        <w:t xml:space="preserve"> </w:t>
      </w:r>
      <w:r>
        <w:rPr>
          <w:rStyle w:val="VerbatimChar"/>
        </w:rPr>
        <w:t xml:space="preserve">append_and_cosign()</w:t>
      </w:r>
      <w:r>
        <w:t xml:space="preserve"> </w:t>
      </w:r>
      <w:r>
        <w:t xml:space="preserve">call. A standalone</w:t>
      </w:r>
      <w:r>
        <w:t xml:space="preserve"> </w:t>
      </w:r>
      <w:r>
        <w:rPr>
          <w:rStyle w:val="VerbatimChar"/>
        </w:rPr>
        <w:t xml:space="preserve">witness_cosign()</w:t>
      </w:r>
      <w:r>
        <w:t xml:space="preserve"> </w:t>
      </w:r>
      <w:r>
        <w:t xml:space="preserve">that fires after a separate</w:t>
      </w:r>
      <w:r>
        <w:t xml:space="preserve"> </w:t>
      </w:r>
      <w:r>
        <w:rPr>
          <w:rStyle w:val="VerbatimChar"/>
        </w:rPr>
        <w:t xml:space="preserve">append()</w:t>
      </w:r>
      <w:r>
        <w:t xml:space="preserve"> </w:t>
      </w:r>
      <w:r>
        <w:t xml:space="preserve">is explicitly prohibited — if any additional claim is appended between the two calls, the cosignature covers a different tree state than the one the witnesses reviewed.</w:t>
      </w:r>
    </w:p>
    <w:p>
      <w:pPr>
        <w:pStyle w:val="BodyText"/>
      </w:pPr>
      <w:r>
        <w:t xml:space="preserve">Transition to CITEABLE requires a receipt from the transparency service. The receipt is a Merkle proof (RFC 6962, Laurie et al., 2013) that the claim’s leaf hash appears in the cosigned root. Once a claim has a valid receipt, it carries the invariant</w:t>
      </w:r>
      <w:r>
        <w:t xml:space="preserve"> </w:t>
      </w:r>
      <w:r>
        <w:rPr>
          <w:b/>
          <w:bCs/>
        </w:rPr>
        <w:t xml:space="preserve">P-MONO-CITEABLE</w:t>
      </w:r>
      <w:r>
        <w:t xml:space="preserve">: it may be cited by other claims, and those citations form an auditable provenance DAG.</w:t>
      </w:r>
    </w:p>
    <w:p>
      <w:pPr>
        <w:pStyle w:val="BodyText"/>
      </w:pPr>
      <w:r>
        <w:t xml:space="preserve">[FIGURE 2: Knowledge lifecycle state machine — DRAFT → SEALED → CITEABLE, with sealing confirmer diversity constraints annotated on the transition arrow]</w:t>
      </w:r>
    </w:p>
    <w:bookmarkEnd w:id="21"/>
    <w:bookmarkStart w:id="22" w:name="Xcff6aa550924a4fe07c2d3c72e0bbc3f745a7bb"/>
    <w:p>
      <w:pPr>
        <w:pStyle w:val="Heading3"/>
      </w:pPr>
      <w:r>
        <w:t xml:space="preserve">3.3 Reputation Kernel: Per-Topic Beta Posterior (A-REPUTATION-FROZEN-MIN)</w:t>
      </w:r>
    </w:p>
    <w:p>
      <w:pPr>
        <w:pStyle w:val="FirstParagraph"/>
      </w:pPr>
      <w:r>
        <w:t xml:space="preserve">Reputation in HyperMind is a per-(agent, topic) pair maintained as a Beta distribution (α, β). A successful outcome on topic T increments α by an outcome-weighted delta; a failed or contested outcome increments β. This follows the Beta-posterior family surveyed in Jøsang et al. (2007), with three HyperMind-specific extensions.</w:t>
      </w:r>
    </w:p>
    <w:p>
      <w:pPr>
        <w:pStyle w:val="BodyText"/>
      </w:pPr>
      <w:r>
        <w:rPr>
          <w:b/>
          <w:bCs/>
        </w:rPr>
        <w:t xml:space="preserve">Smooth slashing</w:t>
      </w:r>
      <w:r>
        <w:t xml:space="preserve">: rather than binary reputation loss on a dispute loss, the slashing coefficient λ = 0.02 applies a smooth exponential decay: α’ = α × exp(−λ × severity). This prevents a single engineered dispute from catastrophically destroying a long-standing reputation while still producing a measurable signal.</w:t>
      </w:r>
    </w:p>
    <w:p>
      <w:pPr>
        <w:pStyle w:val="BodyText"/>
      </w:pPr>
      <w:r>
        <w:rPr>
          <w:b/>
          <w:bCs/>
        </w:rPr>
        <w:t xml:space="preserve">Lazy decay</w:t>
      </w:r>
      <w:r>
        <w:t xml:space="preserve">: reputation decays with inactivity using a half-life H_T = 180 days, computed lazily at read time. An agent silent for 360 days has its α reduced to approximately 25% of its value; β is not inflated.</w:t>
      </w:r>
    </w:p>
    <w:p>
      <w:pPr>
        <w:pStyle w:val="BodyText"/>
      </w:pPr>
      <w:r>
        <w:rPr>
          <w:b/>
          <w:bCs/>
        </w:rPr>
        <w:t xml:space="preserve">Vouch cap</w:t>
      </w:r>
      <w:r>
        <w:t xml:space="preserve">: when agent A vouches for agent B on topic T, the contribution to B’s α is bounded at 5% of A’s α-above-prior on that topic. The correct semantics bind the cap to the voucher’s stake, not the vouchee’s existing α (a previous bug had it backwards).</w:t>
      </w:r>
    </w:p>
    <w:p>
      <w:pPr>
        <w:pStyle w:val="BodyText"/>
      </w:pPr>
      <w:r>
        <w:t xml:space="preserve">The invariant</w:t>
      </w:r>
      <w:r>
        <w:t xml:space="preserve"> </w:t>
      </w:r>
      <w:r>
        <w:rPr>
          <w:b/>
          <w:bCs/>
        </w:rPr>
        <w:t xml:space="preserve">A-REPUTATION-FROZEN-MIN</w:t>
      </w:r>
      <w:r>
        <w:t xml:space="preserve"> </w:t>
      </w:r>
      <w:r>
        <w:t xml:space="preserve">states that a confirmed CITEABLE claim’s reputation contribution cannot be retroactively removed. Once the transparency service has issued a receipt, the (agent, topic) posterior update is frozen into the audit log.</w:t>
      </w:r>
    </w:p>
    <w:bookmarkEnd w:id="22"/>
    <w:bookmarkStart w:id="23" w:name="calibration-gating-a-calibration-gate"/>
    <w:p>
      <w:pPr>
        <w:pStyle w:val="Heading3"/>
      </w:pPr>
      <w:r>
        <w:t xml:space="preserve">3.4 Calibration Gating (A-CALIBRATION-GATE)</w:t>
      </w:r>
    </w:p>
    <w:p>
      <w:pPr>
        <w:pStyle w:val="FirstParagraph"/>
      </w:pPr>
      <w:r>
        <w:t xml:space="preserve">Reputation measures social trust. Calibration measures epistemic accuracy: the alignment between an agent’s stated confidence and its empirical outcome rate. These two quantities diverge in practice.</w:t>
      </w:r>
    </w:p>
    <w:p>
      <w:pPr>
        <w:pStyle w:val="BodyText"/>
      </w:pPr>
      <w:r>
        <w:t xml:space="preserve">HyperMind tracks calibration via the</w:t>
      </w:r>
      <w:r>
        <w:t xml:space="preserve"> </w:t>
      </w:r>
      <w:r>
        <w:rPr>
          <w:b/>
          <w:bCs/>
        </w:rPr>
        <w:t xml:space="preserve">Ranked Probability Score (RPS)</w:t>
      </w:r>
      <w:r>
        <w:t xml:space="preserve">, a proper scoring rule generalising the Brier score (Brier, 1950) to multi-class outcomes. The RPS for a single claim is computed as the mean squared difference between the cumulative forecast distribution and the cumulative outcome distribution across outcome categories.</w:t>
      </w:r>
    </w:p>
    <w:p>
      <w:pPr>
        <w:pStyle w:val="BodyText"/>
      </w:pPr>
      <w:r>
        <w:t xml:space="preserve">The</w:t>
      </w:r>
      <w:r>
        <w:t xml:space="preserve"> </w:t>
      </w:r>
      <w:r>
        <w:rPr>
          <w:b/>
          <w:bCs/>
        </w:rPr>
        <w:t xml:space="preserve">A-CALIBRATION-GATE</w:t>
      </w:r>
      <w:r>
        <w:t xml:space="preserve"> </w:t>
      </w:r>
      <w:r>
        <w:t xml:space="preserve">invariant imposes a sealing gate: an agent’s trailing RPS must be below a configurable threshold before it may participate as a confirmer in a sealing quorum. Calibration and reputation are stored in separate data structures and updated on separate schedules. Conflating them would allow an agent to recover its calibration score by accumulating reputation through vouching — defeating the purpose of the gate.</w:t>
      </w:r>
    </w:p>
    <w:bookmarkEnd w:id="23"/>
    <w:bookmarkStart w:id="24" w:name="X55a79408cc1309e9459cba3d99b6625b78256f1"/>
    <w:p>
      <w:pPr>
        <w:pStyle w:val="Heading3"/>
      </w:pPr>
      <w:r>
        <w:t xml:space="preserve">3.5 Dispute Resolution FSM (I-DISPUTE-PARTITION)</w:t>
      </w:r>
    </w:p>
    <w:p>
      <w:pPr>
        <w:pStyle w:val="FirstParagraph"/>
      </w:pPr>
      <w:r>
        <w:t xml:space="preserve">The dispute subsystem is a finite-state machine over four primary states and one terminal fallback:</w:t>
      </w:r>
    </w:p>
    <w:p>
      <w:pPr>
        <w:pStyle w:val="SourceCode"/>
      </w:pPr>
      <w:r>
        <w:rPr>
          <w:rStyle w:val="VerbatimChar"/>
        </w:rPr>
        <w:t xml:space="preserve">OPEN → ARGUE → COUNTER → CLOSED</w:t>
      </w:r>
      <w:r>
        <w:br/>
      </w:r>
      <w:r>
        <w:rPr>
          <w:rStyle w:val="VerbatimChar"/>
        </w:rPr>
        <w:t xml:space="preserve">                        → FRIVOLOUS</w:t>
      </w:r>
      <w:r>
        <w:br/>
      </w:r>
      <w:r>
        <w:rPr>
          <w:rStyle w:val="VerbatimChar"/>
        </w:rPr>
        <w:t xml:space="preserve">              (timeout) → UNRESOLVED_PARTITION</w:t>
      </w:r>
    </w:p>
    <w:p>
      <w:pPr>
        <w:pStyle w:val="FirstParagraph"/>
      </w:pPr>
      <w:r>
        <w:t xml:space="preserve">A dispute is opened by any agent against any CITEABLE claim, subject to: (a) the opener posting a bond scoped to the claim’s topic; and (b) the claim not already being in an open dispute on the same topic. The</w:t>
      </w:r>
      <w:r>
        <w:t xml:space="preserve"> </w:t>
      </w:r>
      <w:r>
        <w:rPr>
          <w:b/>
          <w:bCs/>
        </w:rPr>
        <w:t xml:space="preserve">TAL-ESCROW-EXCLUSIVE</w:t>
      </w:r>
      <w:r>
        <w:t xml:space="preserve"> </w:t>
      </w:r>
      <w:r>
        <w:t xml:space="preserve">constraint enforces bond scoping: the dispute’s</w:t>
      </w:r>
      <w:r>
        <w:t xml:space="preserve"> </w:t>
      </w:r>
      <w:r>
        <w:rPr>
          <w:rStyle w:val="VerbatimChar"/>
        </w:rPr>
        <w:t xml:space="preserve">topic_scope_hash</w:t>
      </w:r>
      <w:r>
        <w:t xml:space="preserve"> </w:t>
      </w:r>
      <w:r>
        <w:t xml:space="preserve">is computed at open time and checked on every state transition including close.</w:t>
      </w:r>
    </w:p>
    <w:p>
      <w:pPr>
        <w:pStyle w:val="BodyText"/>
      </w:pPr>
      <w:r>
        <w:t xml:space="preserve">The ARGUE state allows the original claimant to respond. The COUNTER state allows a further rebuttal. A dispute that reaches CLOSED with the challenger prevailing results in slashing of the original claimant’s reputation, return of the challenger’s bond, and a CONTESTED marker appended to the original claim’s transparency log entry (P-MONO is preserved: the original claim is not deleted). A FRIVOLOUS determination results in partial forfeiture of the challenger’s bond.</w:t>
      </w:r>
    </w:p>
    <w:p>
      <w:pPr>
        <w:pStyle w:val="BodyText"/>
      </w:pPr>
      <w:r>
        <w:t xml:space="preserve">The dispute FSM relies on the underlying</w:t>
      </w:r>
      <w:r>
        <w:t xml:space="preserve"> </w:t>
      </w:r>
      <w:r>
        <w:rPr>
          <w:rStyle w:val="VerbatimChar"/>
        </w:rPr>
        <w:t xml:space="preserve">GossipBus</w:t>
      </w:r>
      <w:r>
        <w:t xml:space="preserve"> </w:t>
      </w:r>
      <w:r>
        <w:t xml:space="preserve">for message delivery. The in-process</w:t>
      </w:r>
      <w:r>
        <w:t xml:space="preserve"> </w:t>
      </w:r>
      <w:r>
        <w:rPr>
          <w:rStyle w:val="VerbatimChar"/>
        </w:rPr>
        <w:t xml:space="preserve">InProcessBus</w:t>
      </w:r>
      <w:r>
        <w:t xml:space="preserve"> </w:t>
      </w:r>
      <w:r>
        <w:t xml:space="preserve">(used in the reference SDK sandbox and testbed) provides reliable ordered delivery within a single process. The production TCP transport (</w:t>
      </w:r>
      <w:r>
        <w:rPr>
          <w:rStyle w:val="VerbatimChar"/>
        </w:rPr>
        <w:t xml:space="preserve">src/hypermind/transport/tcp.py</w:t>
      </w:r>
      <w:r>
        <w:t xml:space="preserve">) provides best-effort delivery with identity-bound mutual authentication; it does not guarantee message ordering or delivery under partition. The liveness guarantee of I-DISPUTE-PARTITION — that disputes</w:t>
      </w:r>
      <w:r>
        <w:t xml:space="preserve"> </w:t>
      </w:r>
      <w:r>
        <w:rPr>
          <w:b/>
          <w:bCs/>
        </w:rPr>
        <w:t xml:space="preserve">terminate</w:t>
      </w:r>
      <w:r>
        <w:t xml:space="preserve"> </w:t>
      </w:r>
      <w:r>
        <w:t xml:space="preserve">in UNRESOLVED_PARTITION rather than hanging — depends on a weaker property than reliable delivery: it requires only that</w:t>
      </w:r>
      <w:r>
        <w:t xml:space="preserve"> </w:t>
      </w:r>
      <w:r>
        <w:rPr>
          <w:rStyle w:val="VerbatimChar"/>
        </w:rPr>
        <w:t xml:space="preserve">partition_timeout()</w:t>
      </w:r>
      <w:r>
        <w:t xml:space="preserve"> </w:t>
      </w:r>
      <w:r>
        <w:t xml:space="preserve">fires when witness heartbeats are absent for longer than the configured timeout. This timeout is triggered locally by the dispute FSM’s owner, not by witness consensus, so it does not require any network message to fire. The safety property (no dispute reaches CLOSED without a valid witness cosignature) requires at least one honest witness to be reachable; under complete partition with no reachable witnesses, the FSM terminates in UNRESOLVED_PARTITION.</w:t>
      </w:r>
    </w:p>
    <w:p>
      <w:pPr>
        <w:pStyle w:val="BodyText"/>
      </w:pPr>
      <w:r>
        <w:t xml:space="preserve">The invariant</w:t>
      </w:r>
      <w:r>
        <w:t xml:space="preserve"> </w:t>
      </w:r>
      <w:r>
        <w:rPr>
          <w:b/>
          <w:bCs/>
        </w:rPr>
        <w:t xml:space="preserve">I-DISPUTE-PARTITION</w:t>
      </w:r>
      <w:r>
        <w:t xml:space="preserve"> </w:t>
      </w:r>
      <w:r>
        <w:t xml:space="preserve">addresses the most dangerous edge case: a network partition while a dispute is in the ARGUE or COUNTER state. The invariant specifies: when a dispute cannot be resolved due to witness unavailability, it MUST transition to UNRESOLVED_PARTITION rather than remaining open indefinitely. This prevents disputes from being weaponised as denial-of-service through strategic partitioning.</w:t>
      </w:r>
    </w:p>
    <w:p>
      <w:pPr>
        <w:pStyle w:val="BodyText"/>
      </w:pPr>
      <w:r>
        <w:t xml:space="preserve">[FIGURE 3: Dispute FSM — state transition diagram with bond escrow and I-DISPUTE-PARTITION terminal transition annotated]</w:t>
      </w:r>
    </w:p>
    <w:bookmarkEnd w:id="24"/>
    <w:bookmarkStart w:id="25" w:name="X111ed4bb8f49efb7c6486fad2c139fa07c7adee"/>
    <w:p>
      <w:pPr>
        <w:pStyle w:val="Heading3"/>
      </w:pPr>
      <w:r>
        <w:t xml:space="preserve">3.6 Capability Tokens and Revocation (A-TOMB-REVOKE-DISJOINT)</w:t>
      </w:r>
    </w:p>
    <w:p>
      <w:pPr>
        <w:pStyle w:val="FirstParagraph"/>
      </w:pPr>
      <w:r>
        <w:t xml:space="preserve">Capability tokens follow a Biscuit-shaped caveat chain. Three security invariants are enforced: (1) only the current subject may attenuate; (2) each caveat carries</w:t>
      </w:r>
      <w:r>
        <w:t xml:space="preserve"> </w:t>
      </w:r>
      <w:r>
        <w:rPr>
          <w:rStyle w:val="VerbatimChar"/>
        </w:rPr>
        <w:t xml:space="preserve">parent_sig</w:t>
      </w:r>
      <w:r>
        <w:t xml:space="preserve"> </w:t>
      </w:r>
      <w:r>
        <w:t xml:space="preserve">= SHA-256(parent_body ∥ parent_signature), preventing caveat insertion or reordering; and (3)</w:t>
      </w:r>
      <w:r>
        <w:t xml:space="preserve"> </w:t>
      </w:r>
      <w:r>
        <w:rPr>
          <w:rStyle w:val="VerbatimChar"/>
        </w:rPr>
        <w:t xml:space="preserve">verify_chain()</w:t>
      </w:r>
      <w:r>
        <w:t xml:space="preserve"> </w:t>
      </w:r>
      <w:r>
        <w:t xml:space="preserve">calls</w:t>
      </w:r>
      <w:r>
        <w:t xml:space="preserve"> </w:t>
      </w:r>
      <w:r>
        <w:rPr>
          <w:rStyle w:val="VerbatimChar"/>
        </w:rPr>
        <w:t xml:space="preserve">self.verify()</w:t>
      </w:r>
      <w:r>
        <w:t xml:space="preserve"> </w:t>
      </w:r>
      <w:r>
        <w:t xml:space="preserve">before traversing the caveat chain.</w:t>
      </w:r>
    </w:p>
    <w:p>
      <w:pPr>
        <w:pStyle w:val="BodyText"/>
      </w:pPr>
      <w:r>
        <w:t xml:space="preserve">Revocation is epoch-based. The</w:t>
      </w:r>
      <w:r>
        <w:t xml:space="preserve"> </w:t>
      </w:r>
      <w:r>
        <w:rPr>
          <w:rStyle w:val="VerbatimChar"/>
        </w:rPr>
        <w:t xml:space="preserve">RevocationList</w:t>
      </w:r>
      <w:r>
        <w:t xml:space="preserve"> </w:t>
      </w:r>
      <w:r>
        <w:t xml:space="preserve">carries a signed epoch number E; a token with an epoch field ≤ E is revoked regardless of its expiry timestamp. The</w:t>
      </w:r>
      <w:r>
        <w:t xml:space="preserve"> </w:t>
      </w:r>
      <w:r>
        <w:rPr>
          <w:b/>
          <w:bCs/>
        </w:rPr>
        <w:t xml:space="preserve">A-TOMB-REVOKE-DISJOINT</w:t>
      </w:r>
      <w:r>
        <w:t xml:space="preserve"> </w:t>
      </w:r>
      <w:r>
        <w:t xml:space="preserve">invariant formalises the no-simultaneous-active-and-revoked property. Its fail-closed semantics mean that a verifier unable to reach the revocation service within the grace period MUST reject the token — uncertainty defaults to rejection.</w:t>
      </w:r>
    </w:p>
    <w:p>
      <w:pPr>
        <w:pStyle w:val="BodyText"/>
      </w:pPr>
      <w:r>
        <w:rPr>
          <w:rStyle w:val="VerbatimChar"/>
        </w:rPr>
        <w:t xml:space="preserve">Caveat.__post_init__</w:t>
      </w:r>
      <w:r>
        <w:t xml:space="preserve"> </w:t>
      </w:r>
      <w:r>
        <w:t xml:space="preserve">validates the caveat</w:t>
      </w:r>
      <w:r>
        <w:t xml:space="preserve"> </w:t>
      </w:r>
      <w:r>
        <w:rPr>
          <w:rStyle w:val="VerbatimChar"/>
        </w:rPr>
        <w:t xml:space="preserve">kind</w:t>
      </w:r>
      <w:r>
        <w:t xml:space="preserve"> </w:t>
      </w:r>
      <w:r>
        <w:t xml:space="preserve">against a closed set, making silent typos (</w:t>
      </w:r>
      <w:r>
        <w:rPr>
          <w:rStyle w:val="VerbatimChar"/>
        </w:rPr>
        <w:t xml:space="preserve">Caveat("topik", ...)</w:t>
      </w:r>
      <w:r>
        <w:t xml:space="preserve">) into</w:t>
      </w:r>
      <w:r>
        <w:t xml:space="preserve"> </w:t>
      </w:r>
      <w:r>
        <w:rPr>
          <w:rStyle w:val="VerbatimChar"/>
        </w:rPr>
        <w:t xml:space="preserve">ValueError</w:t>
      </w:r>
      <w:r>
        <w:t xml:space="preserve">. Helper constructors (</w:t>
      </w:r>
      <w:r>
        <w:rPr>
          <w:rStyle w:val="VerbatimChar"/>
        </w:rPr>
        <w:t xml:space="preserve">Caveat.topic()</w:t>
      </w:r>
      <w:r>
        <w:t xml:space="preserve">,</w:t>
      </w:r>
      <w:r>
        <w:t xml:space="preserve"> </w:t>
      </w:r>
      <w:r>
        <w:rPr>
          <w:rStyle w:val="VerbatimChar"/>
        </w:rPr>
        <w:t xml:space="preserve">Caveat.rate()</w:t>
      </w:r>
      <w:r>
        <w:t xml:space="preserve">, etc.) are the intended API.</w:t>
      </w:r>
    </w:p>
    <w:bookmarkEnd w:id="25"/>
    <w:bookmarkStart w:id="26" w:name="swarm-deliberation-and-the-mind-layer"/>
    <w:p>
      <w:pPr>
        <w:pStyle w:val="Heading3"/>
      </w:pPr>
      <w:r>
        <w:t xml:space="preserve">3.7 Swarm Deliberation and the Mind Layer</w:t>
      </w:r>
    </w:p>
    <w:p>
      <w:pPr>
        <w:pStyle w:val="FirstParagraph"/>
      </w:pPr>
      <w:r>
        <w:t xml:space="preserve">The mind layer implements swarm intelligence on top of the trust substrate. It operates only on CITEABLE claims that have cleared sealing and calibration gates.</w:t>
      </w:r>
    </w:p>
    <w:p>
      <w:pPr>
        <w:pStyle w:val="BodyText"/>
      </w:pPr>
      <w:r>
        <w:t xml:space="preserve">The central abstraction is the</w:t>
      </w:r>
      <w:r>
        <w:t xml:space="preserve"> </w:t>
      </w:r>
      <w:r>
        <w:rPr>
          <w:rStyle w:val="VerbatimChar"/>
        </w:rPr>
        <w:t xml:space="preserve">Deliberator</w:t>
      </w:r>
      <w:r>
        <w:t xml:space="preserve">, bound to a single agent, owning a</w:t>
      </w:r>
      <w:r>
        <w:t xml:space="preserve"> </w:t>
      </w:r>
      <w:r>
        <w:rPr>
          <w:rStyle w:val="VerbatimChar"/>
        </w:rPr>
        <w:t xml:space="preserve">GoalQueue</w:t>
      </w:r>
      <w:r>
        <w:t xml:space="preserve"> </w:t>
      </w:r>
      <w:r>
        <w:t xml:space="preserve">and a list of</w:t>
      </w:r>
      <w:r>
        <w:t xml:space="preserve"> </w:t>
      </w:r>
      <w:r>
        <w:rPr>
          <w:rStyle w:val="VerbatimChar"/>
        </w:rPr>
        <w:t xml:space="preserve">ActionPolicy</w:t>
      </w:r>
      <w:r>
        <w:t xml:space="preserve"> </w:t>
      </w:r>
      <w:r>
        <w:t xml:space="preserve">instances. The deliberation loop: dequeue the highest-priority goal; evaluate feasibility against the agent’s</w:t>
      </w:r>
      <w:r>
        <w:t xml:space="preserve"> </w:t>
      </w:r>
      <w:r>
        <w:rPr>
          <w:rStyle w:val="VerbatimChar"/>
        </w:rPr>
        <w:t xml:space="preserve">WorldModel</w:t>
      </w:r>
      <w:r>
        <w:t xml:space="preserve"> </w:t>
      </w:r>
      <w:r>
        <w:t xml:space="preserve">snapshot; select an action from applicable policies; execute and update the world model. Goals are prioritised by</w:t>
      </w:r>
      <w:r>
        <w:t xml:space="preserve"> </w:t>
      </w:r>
      <w:r>
        <w:rPr>
          <w:b/>
          <w:bCs/>
        </w:rPr>
        <w:t xml:space="preserve">expected information gain (EIG)</w:t>
      </w:r>
      <w:r>
        <w:t xml:space="preserve">: the expected reduction in the agent’s uncertainty over the topic after receiving responses from the swarm, computed as the KL divergence between the agent’s current prior distribution over outcomes and its posterior after observing the anticipated response distribution. The</w:t>
      </w:r>
      <w:r>
        <w:t xml:space="preserve"> </w:t>
      </w:r>
      <w:r>
        <w:rPr>
          <w:rStyle w:val="VerbatimChar"/>
        </w:rPr>
        <w:t xml:space="preserve">active.py</w:t>
      </w:r>
      <w:r>
        <w:t xml:space="preserve"> </w:t>
      </w:r>
      <w:r>
        <w:t xml:space="preserve">module selects the next question that maximises EIG, choosing the query whose anticipated response distribution differs most from the current prior.</w:t>
      </w:r>
    </w:p>
    <w:p>
      <w:pPr>
        <w:pStyle w:val="BodyText"/>
      </w:pPr>
      <w:r>
        <w:rPr>
          <w:b/>
          <w:bCs/>
        </w:rPr>
        <w:t xml:space="preserve">Role specialisation</w:t>
      </w:r>
      <w:r>
        <w:t xml:space="preserve"> </w:t>
      </w:r>
      <w:r>
        <w:t xml:space="preserve">(</w:t>
      </w:r>
      <w:r>
        <w:rPr>
          <w:rStyle w:val="VerbatimChar"/>
        </w:rPr>
        <w:t xml:space="preserve">roles.py</w:t>
      </w:r>
      <w:r>
        <w:t xml:space="preserve">) provides six declarative role bundles: Scout, Sceptic, Generalist, Synthesist, Mediator, and Oracle. Roles compose with the CapToken chain: a role assignment is itself a capability caveat.</w:t>
      </w:r>
    </w:p>
    <w:p>
      <w:pPr>
        <w:pStyle w:val="BodyText"/>
      </w:pPr>
      <w:r>
        <w:rPr>
          <w:b/>
          <w:bCs/>
        </w:rPr>
        <w:t xml:space="preserve">Sybil guard</w:t>
      </w:r>
      <w:r>
        <w:t xml:space="preserve"> </w:t>
      </w:r>
      <w:r>
        <w:t xml:space="preserve">(</w:t>
      </w:r>
      <w:r>
        <w:rPr>
          <w:rStyle w:val="VerbatimChar"/>
        </w:rPr>
        <w:t xml:space="preserve">sybil_guard.py</w:t>
      </w:r>
      <w:r>
        <w:t xml:space="preserve">) runs before swarm votes are tallied, computing pairwise cosine distances between voting agents’ embedding centroids and penalising clusters where pairwise cosine distance &lt; 0.2.</w:t>
      </w:r>
    </w:p>
    <w:p>
      <w:pPr>
        <w:pStyle w:val="BodyText"/>
      </w:pPr>
      <w:r>
        <w:rPr>
          <w:b/>
          <w:bCs/>
        </w:rPr>
        <w:t xml:space="preserve">Diversity metrics</w:t>
      </w:r>
      <w:r>
        <w:t xml:space="preserve"> </w:t>
      </w:r>
      <w:r>
        <w:t xml:space="preserve">(</w:t>
      </w:r>
      <w:r>
        <w:rPr>
          <w:rStyle w:val="VerbatimChar"/>
        </w:rPr>
        <w:t xml:space="preserve">diversity.py</w:t>
      </w:r>
      <w:r>
        <w:t xml:space="preserve">) track EIG and Q (opinion diversity, mean pairwise KL divergence). The anti-herding floor enforces structural dissent: at least one confirmer in every sealing quorum must come from outside the top-quartile reputation set.</w:t>
      </w:r>
    </w:p>
    <w:p>
      <w:pPr>
        <w:pStyle w:val="BodyText"/>
      </w:pPr>
      <w:r>
        <w:t xml:space="preserve">The Sybil guard’s &lt; 0.2 threshold and the sealing gate’s ≥ 0.3 threshold are intentionally different and serve different purposes. The sealing gate enforces</w:t>
      </w:r>
      <w:r>
        <w:t xml:space="preserve"> </w:t>
      </w:r>
      <w:r>
        <w:rPr>
          <w:i/>
          <w:iCs/>
        </w:rPr>
        <w:t xml:space="preserve">confirmer diversity</w:t>
      </w:r>
      <w:r>
        <w:t xml:space="preserve">: confirmers must be at least 0.3 apart to be treated as representing distinct viewpoints. The Sybil guard detects</w:t>
      </w:r>
      <w:r>
        <w:t xml:space="preserve"> </w:t>
      </w:r>
      <w:r>
        <w:rPr>
          <w:i/>
          <w:iCs/>
        </w:rPr>
        <w:t xml:space="preserve">coordination signals</w:t>
      </w:r>
      <w:r>
        <w:t xml:space="preserve">: clusters where agents are within 0.2 of each other in embedding space are penalised as likely coordinated. The gap [0.2, 0.3) is a deliberate design choice: agents in this range are neither diverse enough to count as independent confirmers (failing the sealing gate) nor close enough to be flagged as coordinated (passing the Sybil guard). They are simply similar-but-not-identical agents who may not confirm each other’s claims but are not penalised as a cluster. This is conservative: the sealing gate excludes them from confirming together, which is the primary defence. The Sybil guard’s lower threshold avoids penalising agents who happen to share a domain without coordinating.</w:t>
      </w:r>
    </w:p>
    <w:p>
      <w:r>
        <w:pict>
          <v:rect style="width:0;height:1.5pt" o:hralign="center" o:hrstd="t" o:hr="t"/>
        </w:pict>
      </w:r>
    </w:p>
    <w:bookmarkEnd w:id="26"/>
    <w:bookmarkEnd w:id="27"/>
    <w:bookmarkStart w:id="32" w:name="security-analysis"/>
    <w:p>
      <w:pPr>
        <w:pStyle w:val="Heading2"/>
      </w:pPr>
      <w:r>
        <w:t xml:space="preserve">4. Security Analysis</w:t>
      </w:r>
    </w:p>
    <w:bookmarkStart w:id="28" w:name="threat-model"/>
    <w:p>
      <w:pPr>
        <w:pStyle w:val="Heading3"/>
      </w:pPr>
      <w:r>
        <w:t xml:space="preserve">4.1 Threat Model</w:t>
      </w:r>
    </w:p>
    <w:p>
      <w:pPr>
        <w:pStyle w:val="FirstParagraph"/>
      </w:pPr>
      <w:r>
        <w:t xml:space="preserve">HyperMind’s threat model covers 30 named threats. The adversary is a computationally bounded principal controlling up to f = ⌊(n−1)/3⌋ agents in a namespace of n agents. The adversary can craft arbitrary messages, inject them on the network bus, delay messages up to the HLC skew bound, and coordinate a Sybil cluster that has passed the vouch-admission threshold. The adversary cannot forge Ed25519 signatures or produce CBOR-canonical encodings that differ from the byte string they control.</w:t>
      </w:r>
    </w:p>
    <w:p>
      <w:pPr>
        <w:pStyle w:val="BodyText"/>
      </w:pPr>
      <w:r>
        <w:t xml:space="preserve">Six threats warrant detailed discussion:</w:t>
      </w:r>
    </w:p>
    <w:p>
      <w:pPr>
        <w:pStyle w:val="BodyText"/>
      </w:pPr>
      <w:r>
        <w:rPr>
          <w:b/>
          <w:bCs/>
        </w:rPr>
        <w:t xml:space="preserve">T-ALGO-SWAP</w:t>
      </w:r>
      <w:r>
        <w:t xml:space="preserve"> </w:t>
      </w:r>
      <w:r>
        <w:t xml:space="preserve">(algorithm substitution): intercepting a signed statement and replacing</w:t>
      </w:r>
      <w:r>
        <w:t xml:space="preserve"> </w:t>
      </w:r>
      <w:r>
        <w:rPr>
          <w:rStyle w:val="VerbatimChar"/>
        </w:rPr>
        <w:t xml:space="preserve">signature_alg</w:t>
      </w:r>
      <w:r>
        <w:t xml:space="preserve"> </w:t>
      </w:r>
      <w:r>
        <w:t xml:space="preserve">with a weaker algorithm identifier. Closed by A-ALG-BOUND: the canonical-CBOR check in</w:t>
      </w:r>
      <w:r>
        <w:t xml:space="preserve"> </w:t>
      </w:r>
      <w:r>
        <w:rPr>
          <w:rStyle w:val="VerbatimChar"/>
        </w:rPr>
        <w:t xml:space="preserve">from_bytes()</w:t>
      </w:r>
      <w:r>
        <w:t xml:space="preserve"> </w:t>
      </w:r>
      <w:r>
        <w:t xml:space="preserve">detects any protected-header modification before signature verification.</w:t>
      </w:r>
    </w:p>
    <w:p>
      <w:pPr>
        <w:pStyle w:val="BodyText"/>
      </w:pPr>
      <w:r>
        <w:rPr>
          <w:b/>
          <w:bCs/>
        </w:rPr>
        <w:t xml:space="preserve">T-SYBIL-SEAL</w:t>
      </w:r>
      <w:r>
        <w:t xml:space="preserve"> </w:t>
      </w:r>
      <w:r>
        <w:t xml:space="preserve">(Sybil sealing quorum): registering k Sybil agents under controlled keys, vouching them in through a single sponsoring identity. Mitigated by diverse-quorum sealing: the distinct-vouch-root constraint means all k Sybil agents share a vouch-root path, and the cosine-distance constraint catches clusters with homogeneous embeddings.</w:t>
      </w:r>
    </w:p>
    <w:p>
      <w:pPr>
        <w:pStyle w:val="BodyText"/>
      </w:pPr>
      <w:r>
        <w:rPr>
          <w:b/>
          <w:bCs/>
        </w:rPr>
        <w:t xml:space="preserve">T-REP-LAUNDER</w:t>
      </w:r>
      <w:r>
        <w:t xml:space="preserve"> </w:t>
      </w:r>
      <w:r>
        <w:t xml:space="preserve">(reputation laundering): transferring reputation through a vouch chain to a fresh identity. Mitigated by the 5%-of-α vouch cap, the 90-day reputation hold, and the momentum anomaly detector (§4.4).</w:t>
      </w:r>
    </w:p>
    <w:p>
      <w:pPr>
        <w:pStyle w:val="BodyText"/>
      </w:pPr>
      <w:r>
        <w:rPr>
          <w:b/>
          <w:bCs/>
        </w:rPr>
        <w:t xml:space="preserve">T-DISPUTE-GRIEF</w:t>
      </w:r>
      <w:r>
        <w:t xml:space="preserve"> </w:t>
      </w:r>
      <w:r>
        <w:t xml:space="preserve">(dispute griefing): opening disputes against legitimate claims to exhaust the claimant’s bonds. Mitigated by bond-posting requirements and the FRIVOLOUS outcome.</w:t>
      </w:r>
    </w:p>
    <w:p>
      <w:pPr>
        <w:pStyle w:val="BodyText"/>
      </w:pPr>
      <w:r>
        <w:rPr>
          <w:b/>
          <w:bCs/>
        </w:rPr>
        <w:t xml:space="preserve">T-PARTITION-HANG</w:t>
      </w:r>
      <w:r>
        <w:t xml:space="preserve"> </w:t>
      </w:r>
      <w:r>
        <w:t xml:space="preserve">(partition-induced FSM hang): engineering a partition to prevent dispute resolution. Closed by I-DISPUTE-PARTITION: UNRESOLVED_PARTITION is the mandatory terminal state.</w:t>
      </w:r>
    </w:p>
    <w:p>
      <w:pPr>
        <w:pStyle w:val="BodyText"/>
      </w:pPr>
      <w:r>
        <w:rPr>
          <w:b/>
          <w:bCs/>
        </w:rPr>
        <w:t xml:space="preserve">T-EPOCH-RACE</w:t>
      </w:r>
      <w:r>
        <w:t xml:space="preserve"> </w:t>
      </w:r>
      <w:r>
        <w:t xml:space="preserve">(revocation epoch race): using a token in the window between its revocation and propagation of the revocation list. Mitigated by the fail-closed grace tier (A-TOMB-REVOKE-DISJOINT).</w:t>
      </w:r>
    </w:p>
    <w:bookmarkEnd w:id="28"/>
    <w:bookmarkStart w:id="29" w:name="X109e98535111b6f73f48a569597d151b1a16516"/>
    <w:p>
      <w:pPr>
        <w:pStyle w:val="Heading3"/>
      </w:pPr>
      <w:r>
        <w:t xml:space="preserve">4.2 Specified Invariants with Regression Coverage</w:t>
      </w:r>
    </w:p>
    <w:p>
      <w:pPr>
        <w:pStyle w:val="FirstParagraph"/>
      </w:pPr>
      <w:r>
        <w:t xml:space="preserve">The following 24 named invariants plus WF-DOMAIN are defined in the HyperMind spec, enforced in the reference implementation, and pinned by the self-healing regression suites. These invariants represent design-level specification: each is stated in precise terms, each has corresponding regression tests that drive the exact code path through real inputs, and each is checked by the conformance CLI. The invariant table is not a set of formally model-checked theorems; exhaustive state-space verification via TLA+ and Tamarin is planned but not yet delivered. A single honest statement in that regard: the invariant table below is a specification artefact with regression coverage. It establishes what the protocol intends to enforce and demonstrates that the reference implementation enforces it on tested paths; it does not prove that no other path can violate it.</w:t>
      </w:r>
    </w:p>
    <w:tbl>
      <w:tblPr>
        <w:tblStyle w:val="Table"/>
        <w:tblW w:type="pct" w:w="5000"/>
        <w:tblLayout w:type="fixed"/>
        <w:tblLook w:firstRow="1" w:lastRow="0" w:firstColumn="0" w:lastColumn="0" w:noHBand="0" w:noVBand="0" w:val="0020"/>
      </w:tblPr>
      <w:tblGrid>
        <w:gridCol w:w="2904"/>
        <w:gridCol w:w="2112"/>
        <w:gridCol w:w="2904"/>
      </w:tblGrid>
      <w:tr>
        <w:trPr>
          <w:tblHeader w:val="on"/>
        </w:trPr>
        <w:tc>
          <w:tcPr/>
          <w:p>
            <w:pPr>
              <w:pStyle w:val="Compact"/>
            </w:pPr>
            <w:r>
              <w:t xml:space="preserve">Invariant</w:t>
            </w:r>
          </w:p>
        </w:tc>
        <w:tc>
          <w:tcPr/>
          <w:p>
            <w:pPr>
              <w:pStyle w:val="Compact"/>
            </w:pPr>
            <w:r>
              <w:t xml:space="preserve">Module</w:t>
            </w:r>
          </w:p>
        </w:tc>
        <w:tc>
          <w:tcPr/>
          <w:p>
            <w:pPr>
              <w:pStyle w:val="Compact"/>
            </w:pPr>
            <w:r>
              <w:t xml:space="preserve">Statement</w:t>
            </w:r>
          </w:p>
        </w:tc>
      </w:tr>
      <w:tr>
        <w:tc>
          <w:tcPr/>
          <w:p>
            <w:pPr>
              <w:pStyle w:val="Compact"/>
            </w:pPr>
            <w:r>
              <w:t xml:space="preserve">P-MONO</w:t>
            </w:r>
          </w:p>
        </w:tc>
        <w:tc>
          <w:tcPr/>
          <w:p>
            <w:pPr>
              <w:pStyle w:val="Compact"/>
            </w:pPr>
            <w:r>
              <w:t xml:space="preserve">knowledge</w:t>
            </w:r>
          </w:p>
        </w:tc>
        <w:tc>
          <w:tcPr/>
          <w:p>
            <w:pPr>
              <w:pStyle w:val="Compact"/>
            </w:pPr>
            <w:r>
              <w:t xml:space="preserve">Claim state transitions are strictly forward</w:t>
            </w:r>
          </w:p>
        </w:tc>
      </w:tr>
      <w:tr>
        <w:tc>
          <w:tcPr/>
          <w:p>
            <w:pPr>
              <w:pStyle w:val="Compact"/>
            </w:pPr>
            <w:r>
              <w:t xml:space="preserve">P-MONO-CITEABLE</w:t>
            </w:r>
          </w:p>
        </w:tc>
        <w:tc>
          <w:tcPr/>
          <w:p>
            <w:pPr>
              <w:pStyle w:val="Compact"/>
            </w:pPr>
            <w:r>
              <w:t xml:space="preserve">knowledge</w:t>
            </w:r>
          </w:p>
        </w:tc>
        <w:tc>
          <w:tcPr/>
          <w:p>
            <w:pPr>
              <w:pStyle w:val="Compact"/>
            </w:pPr>
            <w:r>
              <w:t xml:space="preserve">A CITEABLE claim’s receipt is immutable</w:t>
            </w:r>
          </w:p>
        </w:tc>
      </w:tr>
      <w:tr>
        <w:tc>
          <w:tcPr/>
          <w:p>
            <w:pPr>
              <w:pStyle w:val="Compact"/>
            </w:pPr>
            <w:r>
              <w:t xml:space="preserve">A-SEAL-ATOMIC</w:t>
            </w:r>
          </w:p>
        </w:tc>
        <w:tc>
          <w:tcPr/>
          <w:p>
            <w:pPr>
              <w:pStyle w:val="Compact"/>
            </w:pPr>
            <w:r>
              <w:t xml:space="preserve">transparency</w:t>
            </w:r>
          </w:p>
        </w:tc>
        <w:tc>
          <w:tcPr/>
          <w:p>
            <w:pPr>
              <w:pStyle w:val="Compact"/>
            </w:pPr>
            <w:r>
              <w:t xml:space="preserve">Append and cosign are a single atomic operation</w:t>
            </w:r>
          </w:p>
        </w:tc>
      </w:tr>
      <w:tr>
        <w:tc>
          <w:tcPr/>
          <w:p>
            <w:pPr>
              <w:pStyle w:val="Compact"/>
            </w:pPr>
            <w:r>
              <w:t xml:space="preserve">A-REPUTATION-FROZEN-MIN</w:t>
            </w:r>
          </w:p>
        </w:tc>
        <w:tc>
          <w:tcPr/>
          <w:p>
            <w:pPr>
              <w:pStyle w:val="Compact"/>
            </w:pPr>
            <w:r>
              <w:t xml:space="preserve">reputation</w:t>
            </w:r>
          </w:p>
        </w:tc>
        <w:tc>
          <w:tcPr/>
          <w:p>
            <w:pPr>
              <w:pStyle w:val="Compact"/>
            </w:pPr>
            <w:r>
              <w:t xml:space="preserve">Sealed-claim reputation contribution is append-only</w:t>
            </w:r>
          </w:p>
        </w:tc>
      </w:tr>
      <w:tr>
        <w:tc>
          <w:tcPr/>
          <w:p>
            <w:pPr>
              <w:pStyle w:val="Compact"/>
            </w:pPr>
            <w:r>
              <w:t xml:space="preserve">A-CALIBRATION-GATE</w:t>
            </w:r>
          </w:p>
        </w:tc>
        <w:tc>
          <w:tcPr/>
          <w:p>
            <w:pPr>
              <w:pStyle w:val="Compact"/>
            </w:pPr>
            <w:r>
              <w:t xml:space="preserve">reputation</w:t>
            </w:r>
          </w:p>
        </w:tc>
        <w:tc>
          <w:tcPr/>
          <w:p>
            <w:pPr>
              <w:pStyle w:val="Compact"/>
            </w:pPr>
            <w:r>
              <w:t xml:space="preserve">Confirmer RPS must be below gate threshold</w:t>
            </w:r>
          </w:p>
        </w:tc>
      </w:tr>
      <w:tr>
        <w:tc>
          <w:tcPr/>
          <w:p>
            <w:pPr>
              <w:pStyle w:val="Compact"/>
            </w:pPr>
            <w:r>
              <w:t xml:space="preserve">I-DISPUTE-PARTITION</w:t>
            </w:r>
          </w:p>
        </w:tc>
        <w:tc>
          <w:tcPr/>
          <w:p>
            <w:pPr>
              <w:pStyle w:val="Compact"/>
            </w:pPr>
            <w:r>
              <w:t xml:space="preserve">dispute</w:t>
            </w:r>
          </w:p>
        </w:tc>
        <w:tc>
          <w:tcPr/>
          <w:p>
            <w:pPr>
              <w:pStyle w:val="Compact"/>
            </w:pPr>
            <w:r>
              <w:t xml:space="preserve">Partitioned disputes terminate in UNRESOLVED_PARTITION</w:t>
            </w:r>
          </w:p>
        </w:tc>
      </w:tr>
      <w:tr>
        <w:tc>
          <w:tcPr/>
          <w:p>
            <w:pPr>
              <w:pStyle w:val="Compact"/>
            </w:pPr>
            <w:r>
              <w:t xml:space="preserve">TAL-ESCROW-EXCLUSIVE</w:t>
            </w:r>
          </w:p>
        </w:tc>
        <w:tc>
          <w:tcPr/>
          <w:p>
            <w:pPr>
              <w:pStyle w:val="Compact"/>
            </w:pPr>
            <w:r>
              <w:t xml:space="preserve">dispute</w:t>
            </w:r>
          </w:p>
        </w:tc>
        <w:tc>
          <w:tcPr/>
          <w:p>
            <w:pPr>
              <w:pStyle w:val="Compact"/>
            </w:pPr>
            <w:r>
              <w:t xml:space="preserve">Bonds are topic-scoped and cannot cross topics</w:t>
            </w:r>
          </w:p>
        </w:tc>
      </w:tr>
      <w:tr>
        <w:tc>
          <w:tcPr/>
          <w:p>
            <w:pPr>
              <w:pStyle w:val="Compact"/>
            </w:pPr>
            <w:r>
              <w:t xml:space="preserve">A-TOMB-REVOKE-DISJOINT</w:t>
            </w:r>
          </w:p>
        </w:tc>
        <w:tc>
          <w:tcPr/>
          <w:p>
            <w:pPr>
              <w:pStyle w:val="Compact"/>
            </w:pPr>
            <w:r>
              <w:t xml:space="preserve">capability</w:t>
            </w:r>
          </w:p>
        </w:tc>
        <w:tc>
          <w:tcPr/>
          <w:p>
            <w:pPr>
              <w:pStyle w:val="Compact"/>
            </w:pPr>
            <w:r>
              <w:t xml:space="preserve">Active and revoked are mutually exclusive at any clock value</w:t>
            </w:r>
          </w:p>
        </w:tc>
      </w:tr>
      <w:tr>
        <w:tc>
          <w:tcPr/>
          <w:p>
            <w:pPr>
              <w:pStyle w:val="Compact"/>
            </w:pPr>
            <w:r>
              <w:t xml:space="preserve">A-HLC-MONOTONE</w:t>
            </w:r>
          </w:p>
        </w:tc>
        <w:tc>
          <w:tcPr/>
          <w:p>
            <w:pPr>
              <w:pStyle w:val="Compact"/>
            </w:pPr>
            <w:r>
              <w:t xml:space="preserve">crypto/hlc</w:t>
            </w:r>
          </w:p>
        </w:tc>
        <w:tc>
          <w:tcPr/>
          <w:p>
            <w:pPr>
              <w:pStyle w:val="Compact"/>
            </w:pPr>
            <w:r>
              <w:t xml:space="preserve">HLC values are strictly non-decreasing per agent</w:t>
            </w:r>
          </w:p>
        </w:tc>
      </w:tr>
      <w:tr>
        <w:tc>
          <w:tcPr/>
          <w:p>
            <w:pPr>
              <w:pStyle w:val="Compact"/>
            </w:pPr>
            <w:r>
              <w:t xml:space="preserve">A-HLC-SKEW</w:t>
            </w:r>
          </w:p>
        </w:tc>
        <w:tc>
          <w:tcPr/>
          <w:p>
            <w:pPr>
              <w:pStyle w:val="Compact"/>
            </w:pPr>
            <w:r>
              <w:t xml:space="preserve">crypto/hlc</w:t>
            </w:r>
          </w:p>
        </w:tc>
        <w:tc>
          <w:tcPr/>
          <w:p>
            <w:pPr>
              <w:pStyle w:val="Compact"/>
            </w:pPr>
            <w:r>
              <w:t xml:space="preserve">Incoming HLC rejected if &gt; 2× MAX_SKEW_MS ahead</w:t>
            </w:r>
          </w:p>
        </w:tc>
      </w:tr>
      <w:tr>
        <w:tc>
          <w:tcPr/>
          <w:p>
            <w:pPr>
              <w:pStyle w:val="Compact"/>
            </w:pPr>
            <w:r>
              <w:t xml:space="preserve">WF-DOMAIN</w:t>
            </w:r>
          </w:p>
        </w:tc>
        <w:tc>
          <w:tcPr/>
          <w:p>
            <w:pPr>
              <w:pStyle w:val="Compact"/>
            </w:pPr>
            <w:r>
              <w:t xml:space="preserve">crypto/domain</w:t>
            </w:r>
          </w:p>
        </w:tc>
        <w:tc>
          <w:tcPr/>
          <w:p>
            <w:pPr>
              <w:pStyle w:val="Compact"/>
            </w:pPr>
            <w:r>
              <w:t xml:space="preserve">All preimages carry a unique 1-byte domain tag</w:t>
            </w:r>
          </w:p>
        </w:tc>
      </w:tr>
      <w:tr>
        <w:tc>
          <w:tcPr/>
          <w:p>
            <w:pPr>
              <w:pStyle w:val="Compact"/>
            </w:pPr>
            <w:r>
              <w:t xml:space="preserve">A-ALG-BOUND</w:t>
            </w:r>
          </w:p>
        </w:tc>
        <w:tc>
          <w:tcPr/>
          <w:p>
            <w:pPr>
              <w:pStyle w:val="Compact"/>
            </w:pPr>
            <w:r>
              <w:t xml:space="preserve">wire</w:t>
            </w:r>
          </w:p>
        </w:tc>
        <w:tc>
          <w:tcPr/>
          <w:p>
            <w:pPr>
              <w:pStyle w:val="Compact"/>
            </w:pPr>
            <w:r>
              <w:t xml:space="preserve">Protected header canonical encoding checked before sig verify</w:t>
            </w:r>
          </w:p>
        </w:tc>
      </w:tr>
      <w:tr>
        <w:tc>
          <w:tcPr/>
          <w:p>
            <w:pPr>
              <w:pStyle w:val="Compact"/>
            </w:pPr>
            <w:r>
              <w:t xml:space="preserve">A-VOUCH-CAP</w:t>
            </w:r>
          </w:p>
        </w:tc>
        <w:tc>
          <w:tcPr/>
          <w:p>
            <w:pPr>
              <w:pStyle w:val="Compact"/>
            </w:pPr>
            <w:r>
              <w:t xml:space="preserve">reputation</w:t>
            </w:r>
          </w:p>
        </w:tc>
        <w:tc>
          <w:tcPr/>
          <w:p>
            <w:pPr>
              <w:pStyle w:val="Compact"/>
            </w:pPr>
            <w:r>
              <w:t xml:space="preserve">Vouch contribution ≤ 5% of voucher α-above-prior</w:t>
            </w:r>
          </w:p>
        </w:tc>
      </w:tr>
      <w:tr>
        <w:tc>
          <w:tcPr/>
          <w:p>
            <w:pPr>
              <w:pStyle w:val="Compact"/>
            </w:pPr>
            <w:r>
              <w:t xml:space="preserve">A-FROST-NONCE-DETERM</w:t>
            </w:r>
          </w:p>
        </w:tc>
        <w:tc>
          <w:tcPr/>
          <w:p>
            <w:pPr>
              <w:pStyle w:val="Compact"/>
            </w:pPr>
            <w:r>
              <w:t xml:space="preserve">crypto/frost</w:t>
            </w:r>
          </w:p>
        </w:tc>
        <w:tc>
          <w:tcPr/>
          <w:p>
            <w:pPr>
              <w:pStyle w:val="Compact"/>
            </w:pPr>
            <w:r>
              <w:t xml:space="preserve">FROST nonces are deterministic; transcript LRU bounded at 65,536</w:t>
            </w:r>
          </w:p>
        </w:tc>
      </w:tr>
      <w:tr>
        <w:tc>
          <w:tcPr/>
          <w:p>
            <w:pPr>
              <w:pStyle w:val="Compact"/>
            </w:pPr>
            <w:r>
              <w:t xml:space="preserve">A-DIVERSE-QUORUM</w:t>
            </w:r>
          </w:p>
        </w:tc>
        <w:tc>
          <w:tcPr/>
          <w:p>
            <w:pPr>
              <w:pStyle w:val="Compact"/>
            </w:pPr>
            <w:r>
              <w:t xml:space="preserve">knowledge</w:t>
            </w:r>
          </w:p>
        </w:tc>
        <w:tc>
          <w:tcPr/>
          <w:p>
            <w:pPr>
              <w:pStyle w:val="Compact"/>
            </w:pPr>
            <w:r>
              <w:t xml:space="preserve">Sealing confirmers meet cosine, vouch-root, mass-share, correctness gates</w:t>
            </w:r>
          </w:p>
        </w:tc>
      </w:tr>
      <w:tr>
        <w:tc>
          <w:tcPr/>
          <w:p>
            <w:pPr>
              <w:pStyle w:val="Compact"/>
            </w:pPr>
            <w:r>
              <w:t xml:space="preserve">A-MOMENTUM-DETECTION</w:t>
            </w:r>
          </w:p>
        </w:tc>
        <w:tc>
          <w:tcPr/>
          <w:p>
            <w:pPr>
              <w:pStyle w:val="Compact"/>
            </w:pPr>
            <w:r>
              <w:t xml:space="preserve">reputation</w:t>
            </w:r>
          </w:p>
        </w:tc>
        <w:tc>
          <w:tcPr/>
          <w:p>
            <w:pPr>
              <w:pStyle w:val="Compact"/>
            </w:pPr>
            <w:r>
              <w:t xml:space="preserve">3σ EMA shift + calibration distance &gt; 0.15 triggers ANOMALY_FLAG</w:t>
            </w:r>
          </w:p>
        </w:tc>
      </w:tr>
      <w:tr>
        <w:tc>
          <w:tcPr/>
          <w:p>
            <w:pPr>
              <w:pStyle w:val="Compact"/>
            </w:pPr>
            <w:r>
              <w:t xml:space="preserve">A-SEEN-CACHE-BOUNDED</w:t>
            </w:r>
          </w:p>
        </w:tc>
        <w:tc>
          <w:tcPr/>
          <w:p>
            <w:pPr>
              <w:pStyle w:val="Compact"/>
            </w:pPr>
            <w:r>
              <w:t xml:space="preserve">transport</w:t>
            </w:r>
          </w:p>
        </w:tc>
        <w:tc>
          <w:tcPr/>
          <w:p>
            <w:pPr>
              <w:pStyle w:val="Compact"/>
            </w:pPr>
            <w:r>
              <w:t xml:space="preserve">TCP _seen cache is LRU bounded at SEEN_CACHE_MAX = 16384</w:t>
            </w:r>
          </w:p>
        </w:tc>
      </w:tr>
      <w:tr>
        <w:tc>
          <w:tcPr/>
          <w:p>
            <w:pPr>
              <w:pStyle w:val="Compact"/>
            </w:pPr>
            <w:r>
              <w:t xml:space="preserve">A-ANTI-ENTROPY-GATE</w:t>
            </w:r>
          </w:p>
        </w:tc>
        <w:tc>
          <w:tcPr/>
          <w:p>
            <w:pPr>
              <w:pStyle w:val="Compact"/>
            </w:pPr>
            <w:r>
              <w:t xml:space="preserve">transport</w:t>
            </w:r>
          </w:p>
        </w:tc>
        <w:tc>
          <w:tcPr/>
          <w:p>
            <w:pPr>
              <w:pStyle w:val="Compact"/>
            </w:pPr>
            <w:r>
              <w:t xml:space="preserve">Bloom parameters m, k validated; oversized payloads rejected</w:t>
            </w:r>
          </w:p>
        </w:tc>
      </w:tr>
      <w:tr>
        <w:tc>
          <w:tcPr/>
          <w:p>
            <w:pPr>
              <w:pStyle w:val="Compact"/>
            </w:pPr>
            <w:r>
              <w:t xml:space="preserve">A-CAP-SUBJECT-SIGN</w:t>
            </w:r>
          </w:p>
        </w:tc>
        <w:tc>
          <w:tcPr/>
          <w:p>
            <w:pPr>
              <w:pStyle w:val="Compact"/>
            </w:pPr>
            <w:r>
              <w:t xml:space="preserve">capability</w:t>
            </w:r>
          </w:p>
        </w:tc>
        <w:tc>
          <w:tcPr/>
          <w:p>
            <w:pPr>
              <w:pStyle w:val="Compact"/>
            </w:pPr>
            <w:r>
              <w:t xml:space="preserve">Only the current subject key may attenuate</w:t>
            </w:r>
          </w:p>
        </w:tc>
      </w:tr>
      <w:tr>
        <w:tc>
          <w:tcPr/>
          <w:p>
            <w:pPr>
              <w:pStyle w:val="Compact"/>
            </w:pPr>
            <w:r>
              <w:t xml:space="preserve">A-CAP-PARENT-HASH</w:t>
            </w:r>
          </w:p>
        </w:tc>
        <w:tc>
          <w:tcPr/>
          <w:p>
            <w:pPr>
              <w:pStyle w:val="Compact"/>
            </w:pPr>
            <w:r>
              <w:t xml:space="preserve">capability</w:t>
            </w:r>
          </w:p>
        </w:tc>
        <w:tc>
          <w:tcPr/>
          <w:p>
            <w:pPr>
              <w:pStyle w:val="Compact"/>
            </w:pPr>
            <w:r>
              <w:t xml:space="preserve">Each attenuation caveat carries SHA-256(parent_body ∥ parent_sig)</w:t>
            </w:r>
          </w:p>
        </w:tc>
      </w:tr>
      <w:tr>
        <w:tc>
          <w:tcPr/>
          <w:p>
            <w:pPr>
              <w:pStyle w:val="Compact"/>
            </w:pPr>
            <w:r>
              <w:t xml:space="preserve">A-CAP-VERIFY-FIRST</w:t>
            </w:r>
          </w:p>
        </w:tc>
        <w:tc>
          <w:tcPr/>
          <w:p>
            <w:pPr>
              <w:pStyle w:val="Compact"/>
            </w:pPr>
            <w:r>
              <w:t xml:space="preserve">capability</w:t>
            </w:r>
          </w:p>
        </w:tc>
        <w:tc>
          <w:tcPr/>
          <w:p>
            <w:pPr>
              <w:pStyle w:val="Compact"/>
            </w:pPr>
            <w:r>
              <w:t xml:space="preserve">verify_chain() calls verify() before traversing caveats</w:t>
            </w:r>
          </w:p>
        </w:tc>
      </w:tr>
      <w:tr>
        <w:tc>
          <w:tcPr/>
          <w:p>
            <w:pPr>
              <w:pStyle w:val="Compact"/>
            </w:pPr>
            <w:r>
              <w:t xml:space="preserve">A-REVOKE-EPOCH</w:t>
            </w:r>
          </w:p>
        </w:tc>
        <w:tc>
          <w:tcPr/>
          <w:p>
            <w:pPr>
              <w:pStyle w:val="Compact"/>
            </w:pPr>
            <w:r>
              <w:t xml:space="preserve">capability</w:t>
            </w:r>
          </w:p>
        </w:tc>
        <w:tc>
          <w:tcPr/>
          <w:p>
            <w:pPr>
              <w:pStyle w:val="Compact"/>
            </w:pPr>
            <w:r>
              <w:t xml:space="preserve">Token epoch ≤ revocation list epoch implies token is revoked</w:t>
            </w:r>
          </w:p>
        </w:tc>
      </w:tr>
      <w:tr>
        <w:tc>
          <w:tcPr/>
          <w:p>
            <w:pPr>
              <w:pStyle w:val="Compact"/>
            </w:pPr>
            <w:r>
              <w:t xml:space="preserve">A-TCP-NO-OVERWRITE</w:t>
            </w:r>
          </w:p>
        </w:tc>
        <w:tc>
          <w:tcPr/>
          <w:p>
            <w:pPr>
              <w:pStyle w:val="Compact"/>
            </w:pPr>
            <w:r>
              <w:t xml:space="preserve">transport</w:t>
            </w:r>
          </w:p>
        </w:tc>
        <w:tc>
          <w:tcPr/>
          <w:p>
            <w:pPr>
              <w:pStyle w:val="Compact"/>
            </w:pPr>
            <w:r>
              <w:t xml:space="preserve">Duplicate-kid TCP connections are rejected, not overwritten</w:t>
            </w:r>
          </w:p>
        </w:tc>
      </w:tr>
      <w:tr>
        <w:tc>
          <w:tcPr/>
          <w:p>
            <w:pPr>
              <w:pStyle w:val="Compact"/>
            </w:pPr>
            <w:r>
              <w:t xml:space="preserve">A-BLOOM-BOUNDED</w:t>
            </w:r>
          </w:p>
        </w:tc>
        <w:tc>
          <w:tcPr/>
          <w:p>
            <w:pPr>
              <w:pStyle w:val="Compact"/>
            </w:pPr>
            <w:r>
              <w:t xml:space="preserve">transport</w:t>
            </w:r>
          </w:p>
        </w:tc>
        <w:tc>
          <w:tcPr/>
          <w:p>
            <w:pPr>
              <w:pStyle w:val="Compact"/>
            </w:pPr>
            <w:r>
              <w:t xml:space="preserve">Anti-entropy Bloom from_cbor() rejects oversized m/k (DoS gate)</w:t>
            </w:r>
          </w:p>
        </w:tc>
      </w:tr>
      <w:tr>
        <w:tc>
          <w:tcPr/>
          <w:p>
            <w:pPr>
              <w:pStyle w:val="Compact"/>
            </w:pPr>
            <w:r>
              <w:t xml:space="preserve">A-EIGEN-STABLE</w:t>
            </w:r>
          </w:p>
        </w:tc>
        <w:tc>
          <w:tcPr/>
          <w:p>
            <w:pPr>
              <w:pStyle w:val="Compact"/>
            </w:pPr>
            <w:r>
              <w:t xml:space="preserve">knowledge</w:t>
            </w:r>
          </w:p>
        </w:tc>
        <w:tc>
          <w:tcPr/>
          <w:p>
            <w:pPr>
              <w:pStyle w:val="Compact"/>
            </w:pPr>
            <w:r>
              <w:t xml:space="preserve">EigenTrust mass-share re-evaluated post-partition-heal; seals exceeding cap in merged view are flagged</w:t>
            </w:r>
          </w:p>
        </w:tc>
      </w:tr>
    </w:tbl>
    <w:p>
      <w:pPr>
        <w:pStyle w:val="BodyText"/>
      </w:pPr>
      <w:r>
        <w:t xml:space="preserve">The five most load-bearing invariants — those whose violation would constitute a complete protocol break — are A-ALG-BOUND, I-DISPUTE-PARTITION, A-TOMB-REVOKE-DISJOINT, WF-DOMAIN, and A-DIVERSE-QUORUM. A-DIVERSE-QUORUM is the only invariant that requires external data (embedding model output, EigenTrust mass distribution) to evaluate, making it the most sensitive to the embedding model governance problem (§7, L6) and to partition-induced local approximation (§7, L8).</w:t>
      </w:r>
    </w:p>
    <w:bookmarkEnd w:id="29"/>
    <w:bookmarkStart w:id="30" w:name="living-transmission-and-sybil-resistance"/>
    <w:p>
      <w:pPr>
        <w:pStyle w:val="Heading3"/>
      </w:pPr>
      <w:r>
        <w:t xml:space="preserve">4.3 Living Transmission and Sybil Resistance</w:t>
      </w:r>
    </w:p>
    <w:p>
      <w:pPr>
        <w:pStyle w:val="FirstParagraph"/>
      </w:pPr>
      <w:r>
        <w:t xml:space="preserve">Living transmission is the protocol’s answer to the credential laundering problem. A vouch carries an expiry, enforced by the HLC timestamp and the</w:t>
      </w:r>
      <w:r>
        <w:t xml:space="preserve"> </w:t>
      </w:r>
      <w:r>
        <w:rPr>
          <w:rStyle w:val="VerbatimChar"/>
        </w:rPr>
        <w:t xml:space="preserve">vouch_decay_half_life</w:t>
      </w:r>
      <w:r>
        <w:t xml:space="preserve"> </w:t>
      </w:r>
      <w:r>
        <w:t xml:space="preserve">parameter (default: 180 days).</w:t>
      </w:r>
    </w:p>
    <w:p>
      <w:pPr>
        <w:pStyle w:val="BodyText"/>
      </w:pPr>
      <w:r>
        <w:t xml:space="preserve">Mentor bonds are</w:t>
      </w:r>
      <w:r>
        <w:t xml:space="preserve"> </w:t>
      </w:r>
      <w:r>
        <w:rPr>
          <w:b/>
          <w:bCs/>
        </w:rPr>
        <w:t xml:space="preserve">slashed</w:t>
      </w:r>
      <w:r>
        <w:t xml:space="preserve"> </w:t>
      </w:r>
      <w:r>
        <w:t xml:space="preserve">on apprentice misbehaviour. When agent B (apprentice) incurs a dispute loss with severity score s after being vouched by agent A (mentor), A’s reputation on topic T is decremented by δ_mentor = γ_mentor × s × A’s_vouch_contribution_to_B. The coefficient γ_mentor = 0.5 means a mentor bears half the reputational impact of their apprentice’s verified misbehaviour.</w:t>
      </w:r>
    </w:p>
    <w:p>
      <w:pPr>
        <w:pStyle w:val="BodyText"/>
      </w:pPr>
      <w:r>
        <w:t xml:space="preserve">The combination of vouch cap, decay, and mentor slashing makes Sybil registration economically expensive. Consider an adversary with budget C (in reputation units) attempting to register k Sybil confirmers through k distinct sponsoring identities. Each sponsoring identity itself requires a bond B_sponsor to onboard. Each vouch from sponsor to Sybil agent costs B_vouch and decays with half-life H_T = 180 days, requiring renewal at cost B_vouch every 180 days. The adversary’s annual cost to maintain k active Sybil confirmers is: C_annual = k × (B_sponsor/T_sponsor + 2 × B_vouch), where T_sponsor is the sponsoring identity’s amortised onboarding period. Under the diverse-quorum cap (EigenTrust mass-share ≤ 0.30 per confirmer), k Sybil confirmers with a shared vouch-root provide at most one effective diverse confirmer (the vouch-root constraint collapses them). To place one effective Sybil confirmer in each of Q sealing quorums, the adversary needs Q × k agents each with distinct vouch-root paths — requiring at least Q × k distinct sponsoring identities. This makes the cost superlinear in Q: C_annual(Q) = Q × k × (B_sponsor/T_sponsor + 2 × B_vouch). At Q = 10 quorums and k = 5 agents per quorum, the adversary must maintain 50 active sponsoring identities, each bearing the bond and decay costs. Precise values for B_sponsor and B_vouch are namespace-governance parameters; the structural argument holds for any positive bond cost.</w:t>
      </w:r>
    </w:p>
    <w:bookmarkEnd w:id="30"/>
    <w:bookmarkStart w:id="31" w:name="X4c47732bce24077170f3de780f13f1298996646"/>
    <w:p>
      <w:pPr>
        <w:pStyle w:val="Heading3"/>
      </w:pPr>
      <w:r>
        <w:t xml:space="preserve">4.4 Momentum Anomaly Detection: Specification and Partial Implementation</w:t>
      </w:r>
    </w:p>
    <w:p>
      <w:pPr>
        <w:pStyle w:val="FirstParagraph"/>
      </w:pPr>
      <w:r>
        <w:t xml:space="preserve">The momentum anomaly detector is specified by invariant A-MOMENTUM-DETECTION and partially implemented in the reference SDK. The</w:t>
      </w:r>
      <w:r>
        <w:t xml:space="preserve"> </w:t>
      </w:r>
      <w:r>
        <w:rPr>
          <w:rStyle w:val="VerbatimChar"/>
        </w:rPr>
        <w:t xml:space="preserve">ReputationSnapshot</w:t>
      </w:r>
      <w:r>
        <w:t xml:space="preserve"> </w:t>
      </w:r>
      <w:r>
        <w:t xml:space="preserve">dataclass carries a</w:t>
      </w:r>
      <w:r>
        <w:t xml:space="preserve"> </w:t>
      </w:r>
      <w:r>
        <w:rPr>
          <w:rStyle w:val="VerbatimChar"/>
        </w:rPr>
        <w:t xml:space="preserve">momentum_z</w:t>
      </w:r>
      <w:r>
        <w:t xml:space="preserve"> </w:t>
      </w:r>
      <w:r>
        <w:t xml:space="preserve">field (the normalised z-score of recent reputation velocity against a 30-day cohort baseline); the</w:t>
      </w:r>
      <w:r>
        <w:t xml:space="preserve"> </w:t>
      </w:r>
      <w:r>
        <w:rPr>
          <w:rStyle w:val="VerbatimChar"/>
        </w:rPr>
        <w:t xml:space="preserve">take_snapshot()</w:t>
      </w:r>
      <w:r>
        <w:t xml:space="preserve"> </w:t>
      </w:r>
      <w:r>
        <w:t xml:space="preserve">method computes it via a rolling window at read time. The triggering logic — ANOMALY_FLAG when</w:t>
      </w:r>
      <w:r>
        <w:t xml:space="preserve"> </w:t>
      </w:r>
      <w:r>
        <w:rPr>
          <w:rStyle w:val="VerbatimChar"/>
        </w:rPr>
        <w:t xml:space="preserve">momentum_z &gt; 3</w:t>
      </w:r>
      <w:r>
        <w:t xml:space="preserve"> </w:t>
      </w:r>
      <w:r>
        <w:t xml:space="preserve">AND calibration distance &gt; 0.15 — is specified normatively but the enforcement gate (blocking the agent from confirmer eligibility) is planned for v0.10. The current implementation computes and records the</w:t>
      </w:r>
      <w:r>
        <w:t xml:space="preserve"> </w:t>
      </w:r>
      <w:r>
        <w:rPr>
          <w:rStyle w:val="VerbatimChar"/>
        </w:rPr>
        <w:t xml:space="preserve">momentum_z</w:t>
      </w:r>
      <w:r>
        <w:t xml:space="preserve"> </w:t>
      </w:r>
      <w:r>
        <w:t xml:space="preserve">value and surfaces it to operators via the observability layer (</w:t>
      </w:r>
      <w:r>
        <w:rPr>
          <w:rStyle w:val="VerbatimChar"/>
        </w:rPr>
        <w:t xml:space="preserve">Recorder</w:t>
      </w:r>
      <w:r>
        <w:t xml:space="preserve">) and via</w:t>
      </w:r>
      <w:r>
        <w:t xml:space="preserve"> </w:t>
      </w:r>
      <w:r>
        <w:rPr>
          <w:rStyle w:val="VerbatimChar"/>
        </w:rPr>
        <w:t xml:space="preserve">hmctl doctor</w:t>
      </w:r>
      <w:r>
        <w:t xml:space="preserve">; it does not yet automatically exclude agents that breach the threshold.</w:t>
      </w:r>
    </w:p>
    <w:p>
      <w:pPr>
        <w:pStyle w:val="BodyText"/>
      </w:pPr>
      <w:r>
        <w:t xml:space="preserve">The design rationale for the conjunction threshold is sound: legitimate reputation growth typically accompanies improving calibration (lower RPS), not diverging from it. Laundering patterns produce high momentum with simultaneously degrading calibration because the vouch chain delivers reputation faster than genuine correct outcomes can improve the Brier score. This structural property is the basis for the dual-condition gate. Full empirical evaluation of trigger fidelity — false-positive and false-negative rates across reputation trajectory classes — is deferred to v0.10 once the enforcement path is complete.</w:t>
      </w:r>
    </w:p>
    <w:p>
      <w:r>
        <w:pict>
          <v:rect style="width:0;height:1.5pt" o:hralign="center" o:hrstd="t" o:hr="t"/>
        </w:pict>
      </w:r>
    </w:p>
    <w:bookmarkEnd w:id="31"/>
    <w:bookmarkEnd w:id="32"/>
    <w:bookmarkStart w:id="38" w:name="implementation"/>
    <w:p>
      <w:pPr>
        <w:pStyle w:val="Heading2"/>
      </w:pPr>
      <w:r>
        <w:t xml:space="preserve">5. Implementation</w:t>
      </w:r>
    </w:p>
    <w:bookmarkStart w:id="33" w:name="overview"/>
    <w:p>
      <w:pPr>
        <w:pStyle w:val="Heading3"/>
      </w:pPr>
      <w:r>
        <w:t xml:space="preserve">5.1 Overview</w:t>
      </w:r>
    </w:p>
    <w:p>
      <w:pPr>
        <w:pStyle w:val="FirstParagraph"/>
      </w:pPr>
      <w:r>
        <w:t xml:space="preserve">The HyperMind reference implementation is a Python SDK, version 0.9.0a0, supporting Python 3.11–3.13. The SDK ships over 1,350 passing tests as of the v0.9.0a0 tag (1,353 collected by pytest at time of writing; the ROADMAP.md figure of 1,337 reflects an earlier snapshot).</w:t>
      </w:r>
    </w:p>
    <w:tbl>
      <w:tblPr>
        <w:tblStyle w:val="Table"/>
        <w:tblW w:type="pct" w:w="5000"/>
        <w:tblLayout w:type="fixed"/>
        <w:tblLook w:firstRow="1" w:lastRow="0" w:firstColumn="0" w:lastColumn="0" w:noHBand="0" w:noVBand="0" w:val="0020"/>
      </w:tblPr>
      <w:tblGrid>
        <w:gridCol w:w="2410"/>
        <w:gridCol w:w="2410"/>
        <w:gridCol w:w="3099"/>
      </w:tblGrid>
      <w:tr>
        <w:trPr>
          <w:tblHeader w:val="on"/>
        </w:trPr>
        <w:tc>
          <w:tcPr/>
          <w:p>
            <w:pPr>
              <w:pStyle w:val="Compact"/>
            </w:pPr>
            <w:r>
              <w:t xml:space="preserve">Suite</w:t>
            </w:r>
          </w:p>
        </w:tc>
        <w:tc>
          <w:tcPr/>
          <w:p>
            <w:pPr>
              <w:pStyle w:val="Compact"/>
            </w:pPr>
            <w:r>
              <w:t xml:space="preserve">Tests</w:t>
            </w:r>
          </w:p>
        </w:tc>
        <w:tc>
          <w:tcPr/>
          <w:p>
            <w:pPr>
              <w:pStyle w:val="Compact"/>
            </w:pPr>
            <w:r>
              <w:t xml:space="preserve">Purpose</w:t>
            </w:r>
          </w:p>
        </w:tc>
      </w:tr>
      <w:tr>
        <w:tc>
          <w:tcPr/>
          <w:p>
            <w:pPr>
              <w:pStyle w:val="Compact"/>
            </w:pPr>
            <w:r>
              <w:t xml:space="preserve">tests/test_wire.py</w:t>
            </w:r>
          </w:p>
        </w:tc>
        <w:tc>
          <w:tcPr/>
          <w:p>
            <w:pPr>
              <w:pStyle w:val="Compact"/>
            </w:pPr>
            <w:r>
              <w:t xml:space="preserve">89</w:t>
            </w:r>
          </w:p>
        </w:tc>
        <w:tc>
          <w:tcPr/>
          <w:p>
            <w:pPr>
              <w:pStyle w:val="Compact"/>
            </w:pPr>
            <w:r>
              <w:t xml:space="preserve">Wire format, A-ALG-BOUND, WF-DOMAIN</w:t>
            </w:r>
          </w:p>
        </w:tc>
      </w:tr>
      <w:tr>
        <w:tc>
          <w:tcPr/>
          <w:p>
            <w:pPr>
              <w:pStyle w:val="Compact"/>
            </w:pPr>
            <w:r>
              <w:t xml:space="preserve">tests/test_dispute.py</w:t>
            </w:r>
          </w:p>
        </w:tc>
        <w:tc>
          <w:tcPr/>
          <w:p>
            <w:pPr>
              <w:pStyle w:val="Compact"/>
            </w:pPr>
            <w:r>
              <w:t xml:space="preserve">112</w:t>
            </w:r>
          </w:p>
        </w:tc>
        <w:tc>
          <w:tcPr/>
          <w:p>
            <w:pPr>
              <w:pStyle w:val="Compact"/>
            </w:pPr>
            <w:r>
              <w:t xml:space="preserve">Dispute FSM, I-DISPUTE-PARTITION, TAL-ESCROW-EXCLUSIVE</w:t>
            </w:r>
          </w:p>
        </w:tc>
      </w:tr>
      <w:tr>
        <w:tc>
          <w:tcPr/>
          <w:p>
            <w:pPr>
              <w:pStyle w:val="Compact"/>
            </w:pPr>
            <w:r>
              <w:t xml:space="preserve">tests/test_capability.py</w:t>
            </w:r>
          </w:p>
        </w:tc>
        <w:tc>
          <w:tcPr/>
          <w:p>
            <w:pPr>
              <w:pStyle w:val="Compact"/>
            </w:pPr>
            <w:r>
              <w:t xml:space="preserve">97</w:t>
            </w:r>
          </w:p>
        </w:tc>
        <w:tc>
          <w:tcPr/>
          <w:p>
            <w:pPr>
              <w:pStyle w:val="Compact"/>
            </w:pPr>
            <w:r>
              <w:t xml:space="preserve">Capability token chain, A-TOMB-REVOKE-DISJOINT</w:t>
            </w:r>
          </w:p>
        </w:tc>
      </w:tr>
      <w:tr>
        <w:tc>
          <w:tcPr/>
          <w:p>
            <w:pPr>
              <w:pStyle w:val="Compact"/>
            </w:pPr>
            <w:r>
              <w:t xml:space="preserve">tests/test_reputation.py</w:t>
            </w:r>
          </w:p>
        </w:tc>
        <w:tc>
          <w:tcPr/>
          <w:p>
            <w:pPr>
              <w:pStyle w:val="Compact"/>
            </w:pPr>
            <w:r>
              <w:t xml:space="preserve">134</w:t>
            </w:r>
          </w:p>
        </w:tc>
        <w:tc>
          <w:tcPr/>
          <w:p>
            <w:pPr>
              <w:pStyle w:val="Compact"/>
            </w:pPr>
            <w:r>
              <w:t xml:space="preserve">Beta posterior, vouch cap, calibration gate</w:t>
            </w:r>
          </w:p>
        </w:tc>
      </w:tr>
      <w:tr>
        <w:tc>
          <w:tcPr/>
          <w:p>
            <w:pPr>
              <w:pStyle w:val="Compact"/>
            </w:pPr>
            <w:r>
              <w:t xml:space="preserve">tests/test_transparency.py</w:t>
            </w:r>
          </w:p>
        </w:tc>
        <w:tc>
          <w:tcPr/>
          <w:p>
            <w:pPr>
              <w:pStyle w:val="Compact"/>
            </w:pPr>
            <w:r>
              <w:t xml:space="preserve">88</w:t>
            </w:r>
          </w:p>
        </w:tc>
        <w:tc>
          <w:tcPr/>
          <w:p>
            <w:pPr>
              <w:pStyle w:val="Compact"/>
            </w:pPr>
            <w:r>
              <w:t xml:space="preserve">Merkle tree, A-SEAL-ATOMIC, receipt verification</w:t>
            </w:r>
          </w:p>
        </w:tc>
      </w:tr>
      <w:tr>
        <w:tc>
          <w:tcPr/>
          <w:p>
            <w:pPr>
              <w:pStyle w:val="Compact"/>
            </w:pPr>
            <w:r>
              <w:t xml:space="preserve">tests/test_crypto_*.py</w:t>
            </w:r>
          </w:p>
        </w:tc>
        <w:tc>
          <w:tcPr/>
          <w:p>
            <w:pPr>
              <w:pStyle w:val="Compact"/>
            </w:pPr>
            <w:r>
              <w:t xml:space="preserve">143</w:t>
            </w:r>
          </w:p>
        </w:tc>
        <w:tc>
          <w:tcPr/>
          <w:p>
            <w:pPr>
              <w:pStyle w:val="Compact"/>
            </w:pPr>
            <w:r>
              <w:t xml:space="preserve">Ed25519, FROST, HLC, domain separation</w:t>
            </w:r>
          </w:p>
        </w:tc>
      </w:tr>
      <w:tr>
        <w:tc>
          <w:tcPr/>
          <w:p>
            <w:pPr>
              <w:pStyle w:val="Compact"/>
            </w:pPr>
            <w:r>
              <w:t xml:space="preserve">tests/test_self_heal_cycle1.py</w:t>
            </w:r>
          </w:p>
        </w:tc>
        <w:tc>
          <w:tcPr/>
          <w:p>
            <w:pPr>
              <w:pStyle w:val="Compact"/>
            </w:pPr>
            <w:r>
              <w:t xml:space="preserve">17</w:t>
            </w:r>
          </w:p>
        </w:tc>
        <w:tc>
          <w:tcPr/>
          <w:p>
            <w:pPr>
              <w:pStyle w:val="Compact"/>
            </w:pPr>
            <w:r>
              <w:t xml:space="preserve">Security regression: cycle 1</w:t>
            </w:r>
          </w:p>
        </w:tc>
      </w:tr>
      <w:tr>
        <w:tc>
          <w:tcPr/>
          <w:p>
            <w:pPr>
              <w:pStyle w:val="Compact"/>
            </w:pPr>
            <w:r>
              <w:t xml:space="preserve">tests/test_self_heal_cycle2.py</w:t>
            </w:r>
          </w:p>
        </w:tc>
        <w:tc>
          <w:tcPr/>
          <w:p>
            <w:pPr>
              <w:pStyle w:val="Compact"/>
            </w:pPr>
            <w:r>
              <w:t xml:space="preserve">12</w:t>
            </w:r>
          </w:p>
        </w:tc>
        <w:tc>
          <w:tcPr/>
          <w:p>
            <w:pPr>
              <w:pStyle w:val="Compact"/>
            </w:pPr>
            <w:r>
              <w:t xml:space="preserve">Security regression: cycle 2</w:t>
            </w:r>
          </w:p>
        </w:tc>
      </w:tr>
      <w:tr>
        <w:tc>
          <w:tcPr/>
          <w:p>
            <w:pPr>
              <w:pStyle w:val="Compact"/>
            </w:pPr>
            <w:r>
              <w:t xml:space="preserve">tests/test_self_heal_cycle3.py</w:t>
            </w:r>
          </w:p>
        </w:tc>
        <w:tc>
          <w:tcPr/>
          <w:p>
            <w:pPr>
              <w:pStyle w:val="Compact"/>
            </w:pPr>
            <w:r>
              <w:t xml:space="preserve">6</w:t>
            </w:r>
          </w:p>
        </w:tc>
        <w:tc>
          <w:tcPr/>
          <w:p>
            <w:pPr>
              <w:pStyle w:val="Compact"/>
            </w:pPr>
            <w:r>
              <w:t xml:space="preserve">Security regression: cycle 3</w:t>
            </w:r>
          </w:p>
        </w:tc>
      </w:tr>
      <w:tr>
        <w:tc>
          <w:tcPr/>
          <w:p>
            <w:pPr>
              <w:pStyle w:val="Compact"/>
            </w:pPr>
            <w:r>
              <w:t xml:space="preserve">tests/test_self_heal_cycle4.py</w:t>
            </w:r>
          </w:p>
        </w:tc>
        <w:tc>
          <w:tcPr/>
          <w:p>
            <w:pPr>
              <w:pStyle w:val="Compact"/>
            </w:pPr>
            <w:r>
              <w:t xml:space="preserve">18</w:t>
            </w:r>
          </w:p>
        </w:tc>
        <w:tc>
          <w:tcPr/>
          <w:p>
            <w:pPr>
              <w:pStyle w:val="Compact"/>
            </w:pPr>
            <w:r>
              <w:t xml:space="preserve">Security regression: cycle 4</w:t>
            </w:r>
          </w:p>
        </w:tc>
      </w:tr>
      <w:tr>
        <w:tc>
          <w:tcPr/>
          <w:p>
            <w:pPr>
              <w:pStyle w:val="Compact"/>
            </w:pPr>
            <w:r>
              <w:t xml:space="preserve">tests/test_self_heal_cycle5.py</w:t>
            </w:r>
          </w:p>
        </w:tc>
        <w:tc>
          <w:tcPr/>
          <w:p>
            <w:pPr>
              <w:pStyle w:val="Compact"/>
            </w:pPr>
            <w:r>
              <w:t xml:space="preserve">3</w:t>
            </w:r>
          </w:p>
        </w:tc>
        <w:tc>
          <w:tcPr/>
          <w:p>
            <w:pPr>
              <w:pStyle w:val="Compact"/>
            </w:pPr>
            <w:r>
              <w:t xml:space="preserve">Security regression: cycle 5</w:t>
            </w:r>
          </w:p>
        </w:tc>
      </w:tr>
      <w:tr>
        <w:tc>
          <w:tcPr/>
          <w:p>
            <w:pPr>
              <w:pStyle w:val="Compact"/>
            </w:pPr>
            <w:r>
              <w:t xml:space="preserve">tests/test_two_impl_interop.py</w:t>
            </w:r>
          </w:p>
        </w:tc>
        <w:tc>
          <w:tcPr/>
          <w:p>
            <w:pPr>
              <w:pStyle w:val="Compact"/>
            </w:pPr>
            <w:r>
              <w:t xml:space="preserve">38</w:t>
            </w:r>
          </w:p>
        </w:tc>
        <w:tc>
          <w:tcPr/>
          <w:p>
            <w:pPr>
              <w:pStyle w:val="Compact"/>
            </w:pPr>
            <w:r>
              <w:t xml:space="preserve">SDK ↔ reference_verifier agreement</w:t>
            </w:r>
          </w:p>
        </w:tc>
      </w:tr>
      <w:tr>
        <w:tc>
          <w:tcPr/>
          <w:p>
            <w:pPr>
              <w:pStyle w:val="Compact"/>
            </w:pPr>
            <w:r>
              <w:t xml:space="preserve">tests/test_mind_*.py</w:t>
            </w:r>
          </w:p>
        </w:tc>
        <w:tc>
          <w:tcPr/>
          <w:p>
            <w:pPr>
              <w:pStyle w:val="Compact"/>
            </w:pPr>
            <w:r>
              <w:t xml:space="preserve">201</w:t>
            </w:r>
          </w:p>
        </w:tc>
        <w:tc>
          <w:tcPr/>
          <w:p>
            <w:pPr>
              <w:pStyle w:val="Compact"/>
            </w:pPr>
            <w:r>
              <w:t xml:space="preserve">Swarm deliberation, roles, diversity</w:t>
            </w:r>
          </w:p>
        </w:tc>
      </w:tr>
      <w:tr>
        <w:tc>
          <w:tcPr/>
          <w:p>
            <w:pPr>
              <w:pStyle w:val="Compact"/>
            </w:pPr>
            <w:r>
              <w:t xml:space="preserve">tests/ (remaining)</w:t>
            </w:r>
          </w:p>
        </w:tc>
        <w:tc>
          <w:tcPr/>
          <w:p>
            <w:pPr>
              <w:pStyle w:val="Compact"/>
            </w:pPr>
            <w:r>
              <w:t xml:space="preserve">274</w:t>
            </w:r>
          </w:p>
        </w:tc>
        <w:tc>
          <w:tcPr/>
          <w:p>
            <w:pPr>
              <w:pStyle w:val="Compact"/>
            </w:pPr>
            <w:r>
              <w:t xml:space="preserve">Integration, transport, conformance, examples</w:t>
            </w:r>
          </w:p>
        </w:tc>
      </w:tr>
    </w:tbl>
    <w:p>
      <w:pPr>
        <w:pStyle w:val="BodyText"/>
      </w:pPr>
      <w:r>
        <w:t xml:space="preserve">Coverage is maintained at ≥ 95% on the main branch; the release CI gate is 99%.</w:t>
      </w:r>
    </w:p>
    <w:bookmarkEnd w:id="33"/>
    <w:bookmarkStart w:id="34" w:name="key-modules"/>
    <w:p>
      <w:pPr>
        <w:pStyle w:val="Heading3"/>
      </w:pPr>
      <w:r>
        <w:t xml:space="preserve">5.2 Key Modules</w:t>
      </w:r>
    </w:p>
    <w:p>
      <w:pPr>
        <w:pStyle w:val="FirstParagraph"/>
      </w:pPr>
      <w:r>
        <w:rPr>
          <w:rStyle w:val="VerbatimChar"/>
        </w:rPr>
        <w:t xml:space="preserve">src/hypermind/wire.py</w:t>
      </w:r>
      <w:r>
        <w:t xml:space="preserve"> </w:t>
      </w:r>
      <w:r>
        <w:t xml:space="preserve">defines</w:t>
      </w:r>
      <w:r>
        <w:t xml:space="preserve"> </w:t>
      </w:r>
      <w:r>
        <w:rPr>
          <w:rStyle w:val="VerbatimChar"/>
        </w:rPr>
        <w:t xml:space="preserve">SignedStatement</w:t>
      </w:r>
      <w:r>
        <w:t xml:space="preserve">. Its</w:t>
      </w:r>
      <w:r>
        <w:t xml:space="preserve"> </w:t>
      </w:r>
      <w:r>
        <w:rPr>
          <w:rStyle w:val="VerbatimChar"/>
        </w:rPr>
        <w:t xml:space="preserve">from_bytes()</w:t>
      </w:r>
      <w:r>
        <w:t xml:space="preserve"> </w:t>
      </w:r>
      <w:r>
        <w:t xml:space="preserve">enforces A-ALG-BOUND before any signature verification primitive.</w:t>
      </w:r>
    </w:p>
    <w:p>
      <w:pPr>
        <w:pStyle w:val="BodyText"/>
      </w:pPr>
      <w:r>
        <w:rPr>
          <w:rStyle w:val="VerbatimChar"/>
        </w:rPr>
        <w:t xml:space="preserve">src/hypermind/crypto/</w:t>
      </w:r>
      <w:r>
        <w:t xml:space="preserve"> </w:t>
      </w:r>
      <w:r>
        <w:t xml:space="preserve">contains four modules:</w:t>
      </w:r>
      <w:r>
        <w:t xml:space="preserve"> </w:t>
      </w:r>
      <w:r>
        <w:rPr>
          <w:rStyle w:val="VerbatimChar"/>
        </w:rPr>
        <w:t xml:space="preserve">signing.py</w:t>
      </w:r>
      <w:r>
        <w:t xml:space="preserve"> </w:t>
      </w:r>
      <w:r>
        <w:t xml:space="preserve">(Ed25519 via PyNaCl; composite Ed25519+ML-DSA-65 via quantcrypt),</w:t>
      </w:r>
      <w:r>
        <w:t xml:space="preserve"> </w:t>
      </w:r>
      <w:r>
        <w:rPr>
          <w:rStyle w:val="VerbatimChar"/>
        </w:rPr>
        <w:t xml:space="preserve">frost.py</w:t>
      </w:r>
      <w:r>
        <w:t xml:space="preserve"> </w:t>
      </w:r>
      <w:r>
        <w:t xml:space="preserve">(RFC 9591 with deterministic nonces and bounded</w:t>
      </w:r>
      <w:r>
        <w:t xml:space="preserve"> </w:t>
      </w:r>
      <w:r>
        <w:rPr>
          <w:rStyle w:val="VerbatimChar"/>
        </w:rPr>
        <w:t xml:space="preserve">_SEEN_TRANSCRIPTS</w:t>
      </w:r>
      <w:r>
        <w:t xml:space="preserve"> </w:t>
      </w:r>
      <w:r>
        <w:t xml:space="preserve">LRU),</w:t>
      </w:r>
      <w:r>
        <w:t xml:space="preserve"> </w:t>
      </w:r>
      <w:r>
        <w:rPr>
          <w:rStyle w:val="VerbatimChar"/>
        </w:rPr>
        <w:t xml:space="preserve">hlc.py</w:t>
      </w:r>
      <w:r>
        <w:t xml:space="preserve"> </w:t>
      </w:r>
      <w:r>
        <w:t xml:space="preserve">(Hybrid Logical Clock), and</w:t>
      </w:r>
      <w:r>
        <w:t xml:space="preserve"> </w:t>
      </w:r>
      <w:r>
        <w:rPr>
          <w:rStyle w:val="VerbatimChar"/>
        </w:rPr>
        <w:t xml:space="preserve">domain.py</w:t>
      </w:r>
      <w:r>
        <w:t xml:space="preserve"> </w:t>
      </w:r>
      <w:r>
        <w:t xml:space="preserve">(DomainTag enum and</w:t>
      </w:r>
      <w:r>
        <w:t xml:space="preserve"> </w:t>
      </w:r>
      <w:r>
        <w:rPr>
          <w:rStyle w:val="VerbatimChar"/>
        </w:rPr>
        <w:t xml:space="preserve">prefixed()</w:t>
      </w:r>
      <w:r>
        <w:t xml:space="preserve"> </w:t>
      </w:r>
      <w:r>
        <w:t xml:space="preserve">helper).</w:t>
      </w:r>
    </w:p>
    <w:p>
      <w:pPr>
        <w:pStyle w:val="BodyText"/>
      </w:pPr>
      <w:r>
        <w:rPr>
          <w:rStyle w:val="VerbatimChar"/>
        </w:rPr>
        <w:t xml:space="preserve">src/hypermind/dispute.py</w:t>
      </w:r>
      <w:r>
        <w:t xml:space="preserve"> </w:t>
      </w:r>
      <w:r>
        <w:t xml:space="preserve">checks</w:t>
      </w:r>
      <w:r>
        <w:t xml:space="preserve"> </w:t>
      </w:r>
      <w:r>
        <w:rPr>
          <w:rStyle w:val="VerbatimChar"/>
        </w:rPr>
        <w:t xml:space="preserve">topic_scope_hash</w:t>
      </w:r>
      <w:r>
        <w:t xml:space="preserve"> </w:t>
      </w:r>
      <w:r>
        <w:t xml:space="preserve">before processing any state transition;</w:t>
      </w:r>
      <w:r>
        <w:t xml:space="preserve"> </w:t>
      </w:r>
      <w:r>
        <w:rPr>
          <w:rStyle w:val="VerbatimChar"/>
        </w:rPr>
        <w:t xml:space="preserve">ScopeViolation</w:t>
      </w:r>
      <w:r>
        <w:t xml:space="preserve"> </w:t>
      </w:r>
      <w:r>
        <w:t xml:space="preserve">is raised on mismatch. UNRESOLVED_PARTITION is triggered by</w:t>
      </w:r>
      <w:r>
        <w:t xml:space="preserve"> </w:t>
      </w:r>
      <w:r>
        <w:rPr>
          <w:rStyle w:val="VerbatimChar"/>
        </w:rPr>
        <w:t xml:space="preserve">partition_timeout()</w:t>
      </w:r>
      <w:r>
        <w:t xml:space="preserve">.</w:t>
      </w:r>
    </w:p>
    <w:p>
      <w:pPr>
        <w:pStyle w:val="BodyText"/>
      </w:pPr>
      <w:r>
        <w:rPr>
          <w:rStyle w:val="VerbatimChar"/>
        </w:rPr>
        <w:t xml:space="preserve">src/hypermind/capability.py</w:t>
      </w:r>
      <w:r>
        <w:t xml:space="preserve">:</w:t>
      </w:r>
      <w:r>
        <w:t xml:space="preserve"> </w:t>
      </w:r>
      <w:r>
        <w:rPr>
          <w:rStyle w:val="VerbatimChar"/>
        </w:rPr>
        <w:t xml:space="preserve">Caveat.__post_init__</w:t>
      </w:r>
      <w:r>
        <w:t xml:space="preserve"> </w:t>
      </w:r>
      <w:r>
        <w:t xml:space="preserve">validates</w:t>
      </w:r>
      <w:r>
        <w:t xml:space="preserve"> </w:t>
      </w:r>
      <w:r>
        <w:rPr>
          <w:rStyle w:val="VerbatimChar"/>
        </w:rPr>
        <w:t xml:space="preserve">kind</w:t>
      </w:r>
      <w:r>
        <w:t xml:space="preserve">;</w:t>
      </w:r>
      <w:r>
        <w:t xml:space="preserve"> </w:t>
      </w:r>
      <w:r>
        <w:rPr>
          <w:rStyle w:val="VerbatimChar"/>
        </w:rPr>
        <w:t xml:space="preserve">verify_chain()</w:t>
      </w:r>
      <w:r>
        <w:t xml:space="preserve"> </w:t>
      </w:r>
      <w:r>
        <w:t xml:space="preserve">calls</w:t>
      </w:r>
      <w:r>
        <w:t xml:space="preserve"> </w:t>
      </w:r>
      <w:r>
        <w:rPr>
          <w:rStyle w:val="VerbatimChar"/>
        </w:rPr>
        <w:t xml:space="preserve">verify()</w:t>
      </w:r>
      <w:r>
        <w:t xml:space="preserve"> </w:t>
      </w:r>
      <w:r>
        <w:t xml:space="preserve">first; attenuation checks that</w:t>
      </w:r>
      <w:r>
        <w:t xml:space="preserve"> </w:t>
      </w:r>
      <w:r>
        <w:rPr>
          <w:rStyle w:val="VerbatimChar"/>
        </w:rPr>
        <w:t xml:space="preserve">signing_keypair.kid == self.subject</w:t>
      </w:r>
      <w:r>
        <w:t xml:space="preserve"> </w:t>
      </w:r>
      <w:r>
        <w:t xml:space="preserve">before appending.</w:t>
      </w:r>
    </w:p>
    <w:p>
      <w:pPr>
        <w:pStyle w:val="BodyText"/>
      </w:pPr>
      <w:r>
        <w:rPr>
          <w:rStyle w:val="VerbatimChar"/>
        </w:rPr>
        <w:t xml:space="preserve">src/hypermind/knowledge/transparency.py</w:t>
      </w:r>
      <w:r>
        <w:t xml:space="preserve">: the only public write path is</w:t>
      </w:r>
      <w:r>
        <w:t xml:space="preserve"> </w:t>
      </w:r>
      <w:r>
        <w:rPr>
          <w:rStyle w:val="VerbatimChar"/>
        </w:rPr>
        <w:t xml:space="preserve">append_and_cosign()</w:t>
      </w:r>
      <w:r>
        <w:t xml:space="preserve">, enforcing A-SEAL-ATOMIC.</w:t>
      </w:r>
    </w:p>
    <w:bookmarkEnd w:id="34"/>
    <w:bookmarkStart w:id="35" w:name="self-healing-test-suites"/>
    <w:p>
      <w:pPr>
        <w:pStyle w:val="Heading3"/>
      </w:pPr>
      <w:r>
        <w:t xml:space="preserve">5.3 Self-Healing Test Suites</w:t>
      </w:r>
    </w:p>
    <w:p>
      <w:pPr>
        <w:pStyle w:val="FirstParagraph"/>
      </w:pPr>
      <w:r>
        <w:t xml:space="preserve">Five regression cycles pin specific vulnerability fixes (see §6.1 for details). Cycles 1–3 cover wire-format, dispute, and transport vulnerabilities. Cycle 4 covers deliberator broadcast correctness. Cycle 5 covers additional swarm-intelligence regressions introduced in v0.9.</w:t>
      </w:r>
    </w:p>
    <w:p>
      <w:pPr>
        <w:pStyle w:val="BodyText"/>
      </w:pPr>
      <w:r>
        <w:t xml:space="preserve">These suites are never deleted or weakened without a written rationale on the PR.</w:t>
      </w:r>
    </w:p>
    <w:bookmarkEnd w:id="35"/>
    <w:bookmarkStart w:id="36" w:name="two-implementation-interop"/>
    <w:p>
      <w:pPr>
        <w:pStyle w:val="Heading3"/>
      </w:pPr>
      <w:r>
        <w:t xml:space="preserve">5.4 Two-Implementation Interop</w:t>
      </w:r>
    </w:p>
    <w:p>
      <w:pPr>
        <w:pStyle w:val="FirstParagraph"/>
      </w:pPr>
      <w:r>
        <w:t xml:space="preserve">The</w:t>
      </w:r>
      <w:r>
        <w:t xml:space="preserve"> </w:t>
      </w:r>
      <w:r>
        <w:rPr>
          <w:rStyle w:val="VerbatimChar"/>
        </w:rPr>
        <w:t xml:space="preserve">reference_verifier/</w:t>
      </w:r>
      <w:r>
        <w:t xml:space="preserve"> </w:t>
      </w:r>
      <w:r>
        <w:t xml:space="preserve">package re-implements</w:t>
      </w:r>
      <w:r>
        <w:t xml:space="preserve"> </w:t>
      </w:r>
      <w:r>
        <w:rPr>
          <w:rStyle w:val="VerbatimChar"/>
        </w:rPr>
        <w:t xml:space="preserve">SignedStatement</w:t>
      </w:r>
      <w:r>
        <w:t xml:space="preserve"> </w:t>
      </w:r>
      <w:r>
        <w:t xml:space="preserve">verification from spec text, with no SDK imports.</w:t>
      </w:r>
      <w:r>
        <w:t xml:space="preserve"> </w:t>
      </w:r>
      <w:r>
        <w:rPr>
          <w:rStyle w:val="VerbatimChar"/>
        </w:rPr>
        <w:t xml:space="preserve">tests/test_two_impl_interop.py</w:t>
      </w:r>
      <w:r>
        <w:t xml:space="preserve"> </w:t>
      </w:r>
      <w:r>
        <w:t xml:space="preserve">generates signed statements using the SDK and verifies them using</w:t>
      </w:r>
      <w:r>
        <w:t xml:space="preserve"> </w:t>
      </w:r>
      <w:r>
        <w:rPr>
          <w:rStyle w:val="VerbatimChar"/>
        </w:rPr>
        <w:t xml:space="preserve">reference_verifier</w:t>
      </w:r>
      <w:r>
        <w:t xml:space="preserve">, and vice versa — 38 cross-verification tests covering all discriminator combinations, edge-case HLC values, and known-bad encodings.</w:t>
      </w:r>
    </w:p>
    <w:bookmarkEnd w:id="36"/>
    <w:bookmarkStart w:id="37" w:name="conformance-cli"/>
    <w:p>
      <w:pPr>
        <w:pStyle w:val="Heading3"/>
      </w:pPr>
      <w:r>
        <w:t xml:space="preserve">5.5 Conformance CLI</w:t>
      </w:r>
    </w:p>
    <w:p>
      <w:pPr>
        <w:pStyle w:val="FirstParagraph"/>
      </w:pPr>
      <w:r>
        <w:rPr>
          <w:rStyle w:val="VerbatimChar"/>
        </w:rPr>
        <w:t xml:space="preserve">hmctl conformance</w:t>
      </w:r>
      <w:r>
        <w:t xml:space="preserve"> </w:t>
      </w:r>
      <w:r>
        <w:t xml:space="preserve">prints the v0.1 conformance contract — a machine-readable list of all 24 invariants, their status (REQUIRED / RECOMMENDED / INFORMATIVE), and the test IDs that pin them.</w:t>
      </w:r>
      <w:r>
        <w:t xml:space="preserve"> </w:t>
      </w:r>
      <w:r>
        <w:rPr>
          <w:rStyle w:val="VerbatimChar"/>
        </w:rPr>
        <w:t xml:space="preserve">hmctl why-blocked &lt;gate&gt;</w:t>
      </w:r>
      <w:r>
        <w:t xml:space="preserve"> </w:t>
      </w:r>
      <w:r>
        <w:t xml:space="preserve">returns a</w:t>
      </w:r>
      <w:r>
        <w:t xml:space="preserve"> </w:t>
      </w:r>
      <w:r>
        <w:rPr>
          <w:rStyle w:val="VerbatimChar"/>
        </w:rPr>
        <w:t xml:space="preserve">BlockReason</w:t>
      </w:r>
      <w:r>
        <w:t xml:space="preserve"> </w:t>
      </w:r>
      <w:r>
        <w:t xml:space="preserve">with a stable</w:t>
      </w:r>
      <w:r>
        <w:t xml:space="preserve"> </w:t>
      </w:r>
      <w:r>
        <w:rPr>
          <w:rStyle w:val="VerbatimChar"/>
        </w:rPr>
        <w:t xml:space="preserve">rule_id</w:t>
      </w:r>
      <w:r>
        <w:t xml:space="preserve"> </w:t>
      </w:r>
      <w:r>
        <w:t xml:space="preserve">field.</w:t>
      </w:r>
    </w:p>
    <w:p>
      <w:r>
        <w:pict>
          <v:rect style="width:0;height:1.5pt" o:hralign="center" o:hrstd="t" o:hr="t"/>
        </w:pict>
      </w:r>
    </w:p>
    <w:bookmarkEnd w:id="37"/>
    <w:bookmarkEnd w:id="38"/>
    <w:bookmarkStart w:id="45" w:name="evaluation"/>
    <w:p>
      <w:pPr>
        <w:pStyle w:val="Heading2"/>
      </w:pPr>
      <w:r>
        <w:t xml:space="preserve">6. Evaluation</w:t>
      </w:r>
    </w:p>
    <w:bookmarkStart w:id="39" w:name="security-regression-coverage-cycles-15"/>
    <w:p>
      <w:pPr>
        <w:pStyle w:val="Heading3"/>
      </w:pPr>
      <w:r>
        <w:t xml:space="preserve">6.1 Security Regression Coverage: Cycles 1–5</w:t>
      </w:r>
    </w:p>
    <w:p>
      <w:pPr>
        <w:pStyle w:val="FirstParagraph"/>
      </w:pPr>
      <w:r>
        <w:t xml:space="preserve">The reference SDK ships five self-healing regression suites (</w:t>
      </w:r>
      <w:r>
        <w:rPr>
          <w:rStyle w:val="VerbatimChar"/>
        </w:rPr>
        <w:t xml:space="preserve">test_self_heal_cycle1.py</w:t>
      </w:r>
      <w:r>
        <w:t xml:space="preserve"> </w:t>
      </w:r>
      <w:r>
        <w:t xml:space="preserve">through</w:t>
      </w:r>
      <w:r>
        <w:t xml:space="preserve"> </w:t>
      </w:r>
      <w:r>
        <w:rPr>
          <w:rStyle w:val="VerbatimChar"/>
        </w:rPr>
        <w:t xml:space="preserve">test_self_heal_cycle5.py</w:t>
      </w:r>
      <w:r>
        <w:t xml:space="preserve">, plus</w:t>
      </w:r>
      <w:r>
        <w:t xml:space="preserve"> </w:t>
      </w:r>
      <w:r>
        <w:rPr>
          <w:rStyle w:val="VerbatimChar"/>
        </w:rPr>
        <w:t xml:space="preserve">test_self_heal_cycle4_deliberator_broadcast.py</w:t>
      </w:r>
      <w:r>
        <w:t xml:space="preserve">). The vocabulary of coverage is precise: a test</w:t>
      </w:r>
      <w:r>
        <w:t xml:space="preserve"> </w:t>
      </w:r>
      <w:r>
        <w:rPr>
          <w:i/>
          <w:iCs/>
        </w:rPr>
        <w:t xml:space="preserve">pins</w:t>
      </w:r>
      <w:r>
        <w:t xml:space="preserve"> </w:t>
      </w:r>
      <w:r>
        <w:t xml:space="preserve">a fix if it drives the exact code path that was vulnerable using real inputs — not</w:t>
      </w:r>
      <w:r>
        <w:t xml:space="preserve"> </w:t>
      </w:r>
      <w:r>
        <w:rPr>
          <w:rStyle w:val="VerbatimChar"/>
        </w:rPr>
        <w:t xml:space="preserve">object.__setattr__</w:t>
      </w:r>
      <w:r>
        <w:t xml:space="preserve"> </w:t>
      </w:r>
      <w:r>
        <w:t xml:space="preserve">to force a defensive branch.</w:t>
      </w:r>
    </w:p>
    <w:p>
      <w:pPr>
        <w:pStyle w:val="BodyText"/>
      </w:pPr>
      <w:r>
        <w:rPr>
          <w:b/>
          <w:bCs/>
        </w:rPr>
        <w:t xml:space="preserve">Cycle 1</w:t>
      </w:r>
      <w:r>
        <w:t xml:space="preserve"> </w:t>
      </w:r>
      <w:r>
        <w:t xml:space="preserve">pins: the vouch-cap directionality bug (5% cap against voucher α, not vouchee α), the</w:t>
      </w:r>
      <w:r>
        <w:t xml:space="preserve"> </w:t>
      </w:r>
      <w:r>
        <w:rPr>
          <w:rStyle w:val="VerbatimChar"/>
        </w:rPr>
        <w:t xml:space="preserve">witness_cosign()</w:t>
      </w:r>
      <w:r>
        <w:t xml:space="preserve"> </w:t>
      </w:r>
      <w:r>
        <w:t xml:space="preserve">footgun (cosigning a stale tree root), and the initial A-ALG-BOUND placement (canonical-CBOR check must precede signature verification).</w:t>
      </w:r>
    </w:p>
    <w:p>
      <w:pPr>
        <w:pStyle w:val="BodyText"/>
      </w:pPr>
      <w:r>
        <w:rPr>
          <w:b/>
          <w:bCs/>
        </w:rPr>
        <w:t xml:space="preserve">Cycle 2</w:t>
      </w:r>
      <w:r>
        <w:t xml:space="preserve"> </w:t>
      </w:r>
      <w:r>
        <w:t xml:space="preserve">pins: the FROST nonce determinism regression (two identical inputs produce identical nonce commitments), the dispute</w:t>
      </w:r>
      <w:r>
        <w:t xml:space="preserve"> </w:t>
      </w:r>
      <w:r>
        <w:rPr>
          <w:rStyle w:val="VerbatimChar"/>
        </w:rPr>
        <w:t xml:space="preserve">topic_scope_hash</w:t>
      </w:r>
      <w:r>
        <w:t xml:space="preserve"> </w:t>
      </w:r>
      <w:r>
        <w:t xml:space="preserve">bypass (</w:t>
      </w:r>
      <w:r>
        <w:rPr>
          <w:rStyle w:val="VerbatimChar"/>
        </w:rPr>
        <w:t xml:space="preserve">close()</w:t>
      </w:r>
      <w:r>
        <w:t xml:space="preserve"> </w:t>
      </w:r>
      <w:r>
        <w:t xml:space="preserve">raises</w:t>
      </w:r>
      <w:r>
        <w:t xml:space="preserve"> </w:t>
      </w:r>
      <w:r>
        <w:rPr>
          <w:rStyle w:val="VerbatimChar"/>
        </w:rPr>
        <w:t xml:space="preserve">ScopeViolation</w:t>
      </w:r>
      <w:r>
        <w:t xml:space="preserve"> </w:t>
      </w:r>
      <w:r>
        <w:t xml:space="preserve">on mismatch), and the TCP</w:t>
      </w:r>
      <w:r>
        <w:t xml:space="preserve"> </w:t>
      </w:r>
      <w:r>
        <w:rPr>
          <w:rStyle w:val="VerbatimChar"/>
        </w:rPr>
        <w:t xml:space="preserve">_seen</w:t>
      </w:r>
      <w:r>
        <w:t xml:space="preserve"> </w:t>
      </w:r>
      <w:r>
        <w:t xml:space="preserve">cache unbounded-growth vulnerability (16,385 connection attempts leave the LRU at SEEN_CACHE_MAX = 16,384).</w:t>
      </w:r>
    </w:p>
    <w:p>
      <w:pPr>
        <w:pStyle w:val="BodyText"/>
      </w:pPr>
      <w:r>
        <w:rPr>
          <w:b/>
          <w:bCs/>
        </w:rPr>
        <w:t xml:space="preserve">Cycle 3</w:t>
      </w:r>
      <w:r>
        <w:t xml:space="preserve"> </w:t>
      </w:r>
      <w:r>
        <w:t xml:space="preserve">pins: the anti-entropy Bloom parameter validation gap (</w:t>
      </w:r>
      <w:r>
        <w:rPr>
          <w:rStyle w:val="VerbatimChar"/>
        </w:rPr>
        <w:t xml:space="preserve">from_cbor()</w:t>
      </w:r>
      <w:r>
        <w:t xml:space="preserve"> </w:t>
      </w:r>
      <w:r>
        <w:t xml:space="preserve">must reject oversized</w:t>
      </w:r>
      <w:r>
        <w:t xml:space="preserve"> </w:t>
      </w:r>
      <w:r>
        <w:rPr>
          <w:rStyle w:val="VerbatimChar"/>
        </w:rPr>
        <w:t xml:space="preserve">m</w:t>
      </w:r>
      <w:r>
        <w:t xml:space="preserve">/</w:t>
      </w:r>
      <w:r>
        <w:rPr>
          <w:rStyle w:val="VerbatimChar"/>
        </w:rPr>
        <w:t xml:space="preserve">k</w:t>
      </w:r>
      <w:r>
        <w:t xml:space="preserve"> </w:t>
      </w:r>
      <w:r>
        <w:t xml:space="preserve">values before allocating memory).</w:t>
      </w:r>
    </w:p>
    <w:p>
      <w:pPr>
        <w:pStyle w:val="BodyText"/>
      </w:pPr>
      <w:r>
        <w:rPr>
          <w:b/>
          <w:bCs/>
        </w:rPr>
        <w:t xml:space="preserve">Cycles 4–5</w:t>
      </w:r>
      <w:r>
        <w:t xml:space="preserve"> </w:t>
      </w:r>
      <w:r>
        <w:t xml:space="preserve">pin deliberator broadcast correctness and additional swarm-intelligence regression cases introduced in v0.9.</w:t>
      </w:r>
    </w:p>
    <w:p>
      <w:pPr>
        <w:pStyle w:val="BodyText"/>
      </w:pPr>
      <w:r>
        <w:t xml:space="preserve">All suites pass. No suite is deleted or weakened without a written PR rationale.</w:t>
      </w:r>
    </w:p>
    <w:bookmarkEnd w:id="39"/>
    <w:bookmarkStart w:id="40" w:name="sealing-gate-structural-analysis"/>
    <w:p>
      <w:pPr>
        <w:pStyle w:val="Heading3"/>
      </w:pPr>
      <w:r>
        <w:t xml:space="preserve">6.2 Sealing Gate Structural Analysis</w:t>
      </w:r>
    </w:p>
    <w:p>
      <w:pPr>
        <w:pStyle w:val="FirstParagraph"/>
      </w:pPr>
      <w:r>
        <w:t xml:space="preserve">The diverse-quorum sealing requirement (§3.2) is enforced structurally via four independent gates: vouch-root disjointness, cosine-distance floor, EigenTrust mass-share cap, and per-topic correctness window. The</w:t>
      </w:r>
      <w:r>
        <w:t xml:space="preserve"> </w:t>
      </w:r>
      <w:r>
        <w:rPr>
          <w:rStyle w:val="VerbatimChar"/>
        </w:rPr>
        <w:t xml:space="preserve">threat_intel</w:t>
      </w:r>
      <w:r>
        <w:t xml:space="preserve"> </w:t>
      </w:r>
      <w:r>
        <w:t xml:space="preserve">harness scenario exercises the full publish → dispute → oracle resolve → audit path using real SDK primitives in a testbed sandbox.</w:t>
      </w:r>
    </w:p>
    <w:p>
      <w:pPr>
        <w:pStyle w:val="BodyText"/>
      </w:pPr>
      <w:r>
        <w:t xml:space="preserve">A Sybil cluster bypassing the vouch-root gate requires registering confirmers under distinct sponsoring keys — which is economically bounded by the bond-posting requirement per vouch, as quantified in the budget argument in §4.3. A cluster bypassing the cosine-distance gate requires its members to have embedding centroids at least 0.3 apart, which means the cluster members must genuinely represent diverse viewpoints — contradicting the Sybil assumption of coordinated homogeneity. The gates are structurally independent: an adversary must defeat all four simultaneously.</w:t>
      </w:r>
    </w:p>
    <w:p>
      <w:pPr>
        <w:pStyle w:val="BodyText"/>
      </w:pPr>
      <w:r>
        <w:t xml:space="preserve">Formal quantification of the sealing gate’s Sybil resistance bound (as a function of adversarial budget and network size) is planned for the v0.2 release, pending implementation of the diversity scoring module.</w:t>
      </w:r>
    </w:p>
    <w:bookmarkEnd w:id="40"/>
    <w:bookmarkStart w:id="41" w:name="dispute-fsm-i-dispute-partition"/>
    <w:p>
      <w:pPr>
        <w:pStyle w:val="Heading3"/>
      </w:pPr>
      <w:r>
        <w:t xml:space="preserve">6.3 Dispute FSM: I-DISPUTE-PARTITION</w:t>
      </w:r>
    </w:p>
    <w:p>
      <w:pPr>
        <w:pStyle w:val="FirstParagraph"/>
      </w:pPr>
      <w:r>
        <w:t xml:space="preserve">The dispute FSM is exercised by</w:t>
      </w:r>
      <w:r>
        <w:t xml:space="preserve"> </w:t>
      </w:r>
      <w:r>
        <w:rPr>
          <w:rStyle w:val="VerbatimChar"/>
        </w:rPr>
        <w:t xml:space="preserve">tests/test_dispute.py</w:t>
      </w:r>
      <w:r>
        <w:t xml:space="preserve"> </w:t>
      </w:r>
      <w:r>
        <w:t xml:space="preserve">(112 test functions). Key cases cover: normal OPEN→ARGUE→COUNTER→CLOSED transitions; FRIVOLOUS determination on unsubstantiated challenges;</w:t>
      </w:r>
      <w:r>
        <w:t xml:space="preserve"> </w:t>
      </w:r>
      <w:r>
        <w:rPr>
          <w:rStyle w:val="VerbatimChar"/>
        </w:rPr>
        <w:t xml:space="preserve">ScopeViolation</w:t>
      </w:r>
      <w:r>
        <w:t xml:space="preserve"> </w:t>
      </w:r>
      <w:r>
        <w:t xml:space="preserve">on topic_scope_hash mismatch; and UNRESOLVED_PARTITION terminal transition on witness timeout.</w:t>
      </w:r>
    </w:p>
    <w:p>
      <w:pPr>
        <w:pStyle w:val="BodyText"/>
      </w:pPr>
      <w:r>
        <w:t xml:space="preserve">The</w:t>
      </w:r>
      <w:r>
        <w:t xml:space="preserve"> </w:t>
      </w:r>
      <w:r>
        <w:rPr>
          <w:rStyle w:val="VerbatimChar"/>
        </w:rPr>
        <w:t xml:space="preserve">partition_timeout()</w:t>
      </w:r>
      <w:r>
        <w:t xml:space="preserve"> </w:t>
      </w:r>
      <w:r>
        <w:t xml:space="preserve">code path is driven by test cases that simulate witness heartbeat absence via the</w:t>
      </w:r>
      <w:r>
        <w:t xml:space="preserve"> </w:t>
      </w:r>
      <w:r>
        <w:rPr>
          <w:rStyle w:val="VerbatimChar"/>
        </w:rPr>
        <w:t xml:space="preserve">InProcessBus.partition_witnesses()</w:t>
      </w:r>
      <w:r>
        <w:t xml:space="preserve"> </w:t>
      </w:r>
      <w:r>
        <w:t xml:space="preserve">test hook. Tests verify that no dispute remains in ARGUE or COUNTER state after the timeout fires, and that the resulting UNRESOLVED_PARTITION record carries both parties’ last signed submissions and the HLC at which the timeout was declared.</w:t>
      </w:r>
    </w:p>
    <w:p>
      <w:pPr>
        <w:pStyle w:val="BodyText"/>
      </w:pPr>
      <w:r>
        <w:t xml:space="preserve">Large-scale partition healing experiments (N &gt; 10 disputes, network-level partition injection) are planned for the v0.2 testbed evaluation.</w:t>
      </w:r>
    </w:p>
    <w:bookmarkEnd w:id="41"/>
    <w:bookmarkStart w:id="42" w:name="X7493f3d5cf19a3b3af6d36b0cac4fd14d1cd4a0"/>
    <w:p>
      <w:pPr>
        <w:pStyle w:val="Heading3"/>
      </w:pPr>
      <w:r>
        <w:t xml:space="preserve">6.4 Momentum Anomaly Detection: Current Status</w:t>
      </w:r>
    </w:p>
    <w:p>
      <w:pPr>
        <w:pStyle w:val="FirstParagraph"/>
      </w:pPr>
      <w:r>
        <w:t xml:space="preserve">As noted in §4.4, the momentum anomaly detector is partially implemented:</w:t>
      </w:r>
      <w:r>
        <w:t xml:space="preserve"> </w:t>
      </w:r>
      <w:r>
        <w:rPr>
          <w:rStyle w:val="VerbatimChar"/>
        </w:rPr>
        <w:t xml:space="preserve">momentum_z</w:t>
      </w:r>
      <w:r>
        <w:t xml:space="preserve"> </w:t>
      </w:r>
      <w:r>
        <w:t xml:space="preserve">is computed and stored in</w:t>
      </w:r>
      <w:r>
        <w:t xml:space="preserve"> </w:t>
      </w:r>
      <w:r>
        <w:rPr>
          <w:rStyle w:val="VerbatimChar"/>
        </w:rPr>
        <w:t xml:space="preserve">ReputationSnapshot</w:t>
      </w:r>
      <w:r>
        <w:t xml:space="preserve">, but the enforcement gate (blocking confirmer eligibility on threshold breach) is planned for v0.10. The current SDK surfaces</w:t>
      </w:r>
      <w:r>
        <w:t xml:space="preserve"> </w:t>
      </w:r>
      <w:r>
        <w:rPr>
          <w:rStyle w:val="VerbatimChar"/>
        </w:rPr>
        <w:t xml:space="preserve">momentum_z</w:t>
      </w:r>
      <w:r>
        <w:t xml:space="preserve"> </w:t>
      </w:r>
      <w:r>
        <w:t xml:space="preserve">to operators via the observability layer (</w:t>
      </w:r>
      <w:r>
        <w:rPr>
          <w:rStyle w:val="VerbatimChar"/>
        </w:rPr>
        <w:t xml:space="preserve">Recorder</w:t>
      </w:r>
      <w:r>
        <w:t xml:space="preserve">) and via</w:t>
      </w:r>
      <w:r>
        <w:t xml:space="preserve"> </w:t>
      </w:r>
      <w:r>
        <w:rPr>
          <w:rStyle w:val="VerbatimChar"/>
        </w:rPr>
        <w:t xml:space="preserve">hmctl doctor</w:t>
      </w:r>
      <w:r>
        <w:t xml:space="preserve">. Empirical trigger fidelity evaluation — false-positive and false-negative rates across reputation trajectory classes — is deferred to v0.10.</w:t>
      </w:r>
    </w:p>
    <w:p>
      <w:pPr>
        <w:pStyle w:val="BodyText"/>
      </w:pPr>
      <w:r>
        <w:t xml:space="preserve">The design properties that make the dual-condition gate sound are: (a) legitimate reputation growth accompanies improving RPS, so the calibration-distance condition acts as a natural false-positive suppressor; and (b) laundering via vouch chains delivers α faster than correct outcomes can improve the Brier score, making the momentum-z condition a leading indicator of artificial acceleration.</w:t>
      </w:r>
    </w:p>
    <w:bookmarkEnd w:id="42"/>
    <w:bookmarkStart w:id="43" w:name="swarm-layer-role-specialisation-coverage"/>
    <w:p>
      <w:pPr>
        <w:pStyle w:val="Heading3"/>
      </w:pPr>
      <w:r>
        <w:t xml:space="preserve">6.5 Swarm Layer: Role Specialisation Coverage</w:t>
      </w:r>
    </w:p>
    <w:p>
      <w:pPr>
        <w:pStyle w:val="FirstParagraph"/>
      </w:pPr>
      <w:r>
        <w:t xml:space="preserve">The mind layer’s correctness is covered by 201 tests in</w:t>
      </w:r>
      <w:r>
        <w:t xml:space="preserve"> </w:t>
      </w:r>
      <w:r>
        <w:rPr>
          <w:rStyle w:val="VerbatimChar"/>
        </w:rPr>
        <w:t xml:space="preserve">tests/test_mind_*.py</w:t>
      </w:r>
      <w:r>
        <w:t xml:space="preserve">, covering the deliberation loop, goal queue prioritisation, role assignment via CapToken caveats, Sybil guard cluster detection, and diversity metric computation. These tests verify that: (a) agents assigned the Sceptic role dispute at a higher rate than Generalist agents in identical scenarios; (b) the Sybil guard correctly reduces vote weight for clusters with pairwise cosine distance &lt; 0.2; and (c) the GoalQueue correctly de-prioritises goals whose EIG falls below the selection threshold after a round of queries.</w:t>
      </w:r>
    </w:p>
    <w:p>
      <w:pPr>
        <w:pStyle w:val="BodyText"/>
      </w:pPr>
      <w:r>
        <w:rPr>
          <w:b/>
          <w:bCs/>
        </w:rPr>
        <w:t xml:space="preserve">Swarm-level behavioural evaluation</w:t>
      </w:r>
      <w:r>
        <w:t xml:space="preserve"> </w:t>
      </w:r>
      <w:r>
        <w:t xml:space="preserve">— measuring collective accuracy improvement attributable to the mind layer vs. a baseline of uncoordinated agents — is planned for the v0.2 evaluation campaign using the multi-agent testbed at N = 50–200 agents. This is an acknowledged gap: the current paper establishes the trust substrate and mechanism design; empirical validation of emergent swarm behaviour is deferred (§7, L9).</w:t>
      </w:r>
    </w:p>
    <w:bookmarkEnd w:id="43"/>
    <w:bookmarkStart w:id="44" w:name="X6daae050319d6b7e34a1b37678eef7212aacfa6"/>
    <w:p>
      <w:pPr>
        <w:pStyle w:val="Heading3"/>
      </w:pPr>
      <w:r>
        <w:t xml:space="preserve">6.6 Discussion: What the Tests Do and Do Not Prove</w:t>
      </w:r>
    </w:p>
    <w:p>
      <w:pPr>
        <w:pStyle w:val="FirstParagraph"/>
      </w:pPr>
      <w:r>
        <w:t xml:space="preserve">The self-healing suites demonstrate that the reference SDK enforces named invariants on the specific code paths they exercise. They do not prove: (a) that the invariants are complete; (b) that the protocol is correct under all adversarial network conditions; or (c) that the specified invariants are sufficient to rule out all attack classes. TLA+ model checking, which would provide (c), is planned but incomplete (§7, L2).</w:t>
      </w:r>
    </w:p>
    <w:p>
      <w:pPr>
        <w:pStyle w:val="BodyText"/>
      </w:pPr>
      <w:r>
        <w:t xml:space="preserve">The two-implementation interop tests (</w:t>
      </w:r>
      <w:r>
        <w:rPr>
          <w:rStyle w:val="VerbatimChar"/>
        </w:rPr>
        <w:t xml:space="preserve">test_two_impl_interop.py</w:t>
      </w:r>
      <w:r>
        <w:t xml:space="preserve">) are a stronger signal than single-implementation coverage: spec text, as interpreted by two independent implementations, produces identical wire-format behaviour on a 38-case matrix covering all discriminator combinations, edge-case HLC values, and known-bad encodings.</w:t>
      </w:r>
    </w:p>
    <w:p>
      <w:r>
        <w:pict>
          <v:rect style="width:0;height:1.5pt" o:hralign="center" o:hrstd="t" o:hr="t"/>
        </w:pict>
      </w:r>
    </w:p>
    <w:bookmarkEnd w:id="44"/>
    <w:bookmarkEnd w:id="45"/>
    <w:bookmarkStart w:id="46" w:name="limitations-and-future-work"/>
    <w:p>
      <w:pPr>
        <w:pStyle w:val="Heading2"/>
      </w:pPr>
      <w:r>
        <w:t xml:space="preserve">7. Limitations and Future Work</w:t>
      </w:r>
    </w:p>
    <w:p>
      <w:pPr>
        <w:pStyle w:val="FirstParagraph"/>
      </w:pPr>
      <w:r>
        <w:rPr>
          <w:b/>
          <w:bCs/>
        </w:rPr>
        <w:t xml:space="preserve">L1: Single reference implementation.</w:t>
      </w:r>
      <w:r>
        <w:t xml:space="preserve"> </w:t>
      </w:r>
      <w:r>
        <w:t xml:space="preserve">The current SDK is the only conformant implementation. A second complete implementation in Rust (targeting the libp2p backend planned for v0.2) is on the roadmap. The planned mitigation is a public conformance test suite independent of the reference SDK.</w:t>
      </w:r>
    </w:p>
    <w:p>
      <w:pPr>
        <w:pStyle w:val="BodyText"/>
      </w:pPr>
      <w:r>
        <w:rPr>
          <w:b/>
          <w:bCs/>
        </w:rPr>
        <w:t xml:space="preserve">L2: TLA+ model incomplete.</w:t>
      </w:r>
      <w:r>
        <w:t xml:space="preserve"> </w:t>
      </w:r>
      <w:r>
        <w:t xml:space="preserve">The specified invariants in §4.2 are stated as English sentences with informal proofs. A TLA+ model exhaustively checking state reachability for the dispute FSM and capability revocation protocol is planned but not yet delivered. Tamarin and ProVerif proofs of A-ALG-BOUND, WF-DOMAIN, and A-FROST-NONCE-DETERM are on the v1.0 GA checklist but incomplete.</w:t>
      </w:r>
    </w:p>
    <w:p>
      <w:pPr>
        <w:pStyle w:val="BodyText"/>
      </w:pPr>
      <w:r>
        <w:rPr>
          <w:b/>
          <w:bCs/>
        </w:rPr>
        <w:t xml:space="preserve">L3: Eventual consistency latency.</w:t>
      </w:r>
      <w:r>
        <w:t xml:space="preserve"> </w:t>
      </w:r>
      <w:r>
        <w:t xml:space="preserve">HyperMind settles disputes in minutes, not seconds. For applications requiring sub-second claim finality, this is a hard constraint. A planned optional fast-path for namespaces opting into a synchronous witness quorum would address this at the cost of availability under partition.</w:t>
      </w:r>
    </w:p>
    <w:p>
      <w:pPr>
        <w:pStyle w:val="BodyText"/>
      </w:pPr>
      <w:r>
        <w:rPr>
          <w:b/>
          <w:bCs/>
        </w:rPr>
        <w:t xml:space="preserve">L4: Reputation fungibility and laundering detection gaps.</w:t>
      </w:r>
      <w:r>
        <w:t xml:space="preserve"> </w:t>
      </w:r>
      <w:r>
        <w:t xml:space="preserve">The momentum detector has a known false-negative condition: laundering timed to coincide with population-wide reputation surges. A graph-structural analysis of the vouch DAG (similar to SybilGuard) is a planned enhancement, deferred from v0.9 due to privacy concerns around persistent vouch DAG storage.</w:t>
      </w:r>
    </w:p>
    <w:p>
      <w:pPr>
        <w:pStyle w:val="BodyText"/>
      </w:pPr>
      <w:r>
        <w:rPr>
          <w:b/>
          <w:bCs/>
        </w:rPr>
        <w:t xml:space="preserve">L5: Scalability at 10,000+ agents.</w:t>
      </w:r>
      <w:r>
        <w:t xml:space="preserve"> </w:t>
      </w:r>
      <w:r>
        <w:t xml:space="preserve">The implementation has been tested at up to 200 agents. The theoretical O(log N) bucketing design is specified but not implemented. A scalability evaluation at N = 1,000 and N = 10,000 is planned for the v0.2 release cycle.</w:t>
      </w:r>
    </w:p>
    <w:p>
      <w:pPr>
        <w:pStyle w:val="BodyText"/>
      </w:pPr>
      <w:r>
        <w:rPr>
          <w:b/>
          <w:bCs/>
        </w:rPr>
        <w:t xml:space="preserve">L6: Embedding model governance is centralised.</w:t>
      </w:r>
      <w:r>
        <w:t xml:space="preserve"> </w:t>
      </w:r>
      <w:r>
        <w:t xml:space="preserve">The cosine-distance gate requires a shared embedding model whose outputs are comparable across agents. The current 7-of-9 council governance is centralised relative to the rest of the protocol. The planned mitigation is a proof-of-update scheme requiring a verifiable computation proof that the new model’s outputs measurably improve calibration on a holdout benchmark.</w:t>
      </w:r>
    </w:p>
    <w:p>
      <w:pPr>
        <w:pStyle w:val="BodyText"/>
      </w:pPr>
      <w:r>
        <w:rPr>
          <w:b/>
          <w:bCs/>
        </w:rPr>
        <w:t xml:space="preserve">L7: Disputes hang if witness quorum is offline.</w:t>
      </w:r>
      <w:r>
        <w:t xml:space="preserve"> </w:t>
      </w:r>
      <w:r>
        <w:t xml:space="preserve">UNRESOLVED_PARTITION prevents indefinite hangs but does not resolve the underlying dispute. A long-running partition means legitimate disputes cannot be finalised. An asynchronous merge protocol that does not require online claimant presence is a planned v0.3 feature.</w:t>
      </w:r>
    </w:p>
    <w:p>
      <w:pPr>
        <w:pStyle w:val="BodyText"/>
      </w:pPr>
      <w:r>
        <w:rPr>
          <w:b/>
          <w:bCs/>
        </w:rPr>
        <w:t xml:space="preserve">L8: EigenTrust mass-share caps are locally approximate under partition.</w:t>
      </w:r>
      <w:r>
        <w:t xml:space="preserve"> </w:t>
      </w:r>
      <w:r>
        <w:t xml:space="preserve">Sealing decisions made during a network partition are based on local trust subgraph computations that may diverge from the global EigenTrust distribution. When the network heals, an agent whose local mass share was ≤ 0.30 at seal time may be found to exceed the cap in the merged global view; affected seals are flagged for re-review (A-EIGEN-STABLE). This creates a window where a sealed claim must be re-evaluated post-heal. A distributed approximation of EigenTrust (such as a gossip-based PageRank that converges locally before sealing) is planned for v0.2; in the interim, the conservative local semantics ensure safety at the cost of some false-positives in re-review.</w:t>
      </w:r>
    </w:p>
    <w:p>
      <w:pPr>
        <w:pStyle w:val="BodyText"/>
      </w:pPr>
      <w:r>
        <w:rPr>
          <w:b/>
          <w:bCs/>
        </w:rPr>
        <w:t xml:space="preserve">L10: γ_mentor = 0.5 mentor-slashing coefficient is a design parameter without empirical calibration.</w:t>
      </w:r>
      <w:r>
        <w:t xml:space="preserve"> </w:t>
      </w:r>
      <w:r>
        <w:t xml:space="preserve">The mentor-slashing formula δ_mentor = γ_mentor × s × A’s_vouch_contribution_to_B uses γ_mentor = 0.5 as the default coefficient, meaning a mentor bears half the reputational impact of their apprentice’s verified misbehaviour. This value was chosen to balance incentive alignment (strong enough to make vouching consequential) against undue chilling of legitimate mentorship (weak enough that sponsors are not ruined by single apprentice errors). It has not been empirically calibrated against reputation trajectory data. A sensitivity analysis across γ_mentor ∈ {0.1, 0.25, 0.5, 0.75} is planned for the v0.2 evaluation campaign; in the interim, γ_mentor is a namespace-governance parameter that operators may adjust.</w:t>
      </w:r>
    </w:p>
    <w:p>
      <w:pPr>
        <w:pStyle w:val="BodyText"/>
      </w:pPr>
      <w:r>
        <w:rPr>
          <w:b/>
          <w:bCs/>
        </w:rPr>
        <w:t xml:space="preserve">L9: Swarm-level behavioural evaluation is deferred.</w:t>
      </w:r>
      <w:r>
        <w:t xml:space="preserve"> </w:t>
      </w:r>
      <w:r>
        <w:t xml:space="preserve">The mind layer’s correctness is tested across 201 test cases covering the deliberation loop, role assignment, Sybil guard, and diversity metrics. The collective intelligence properties of the swarm — whether role-specialised agent populations achieve higher aggregate accuracy than uncoordinated baselines — are not yet empirically measured. This evaluation is planned for the v0.2 campaign at N = 50–200 agents using the multi-agent testbed.</w:t>
      </w:r>
    </w:p>
    <w:p>
      <w:r>
        <w:pict>
          <v:rect style="width:0;height:1.5pt" o:hralign="center" o:hrstd="t" o:hr="t"/>
        </w:pict>
      </w:r>
    </w:p>
    <w:bookmarkEnd w:id="46"/>
    <w:bookmarkStart w:id="47" w:name="conclusion"/>
    <w:p>
      <w:pPr>
        <w:pStyle w:val="Heading2"/>
      </w:pPr>
      <w:r>
        <w:t xml:space="preserve">8. Conclusion</w:t>
      </w:r>
    </w:p>
    <w:p>
      <w:pPr>
        <w:pStyle w:val="FirstParagraph"/>
      </w:pPr>
      <w:r>
        <w:rPr>
          <w:b/>
          <w:bCs/>
        </w:rPr>
        <w:t xml:space="preserve">RQ1: What gap does HyperMind fill?</w:t>
      </w:r>
      <w:r>
        <w:t xml:space="preserve"> </w:t>
      </w:r>
      <w:r>
        <w:t xml:space="preserve">SCITT provides append-only provenance for static artefacts; federated learning provides gradient aggregation without provenance. Neither provides dispute channels, reputation kernels, calibration gating, or swarm coordination for autonomous AI agents. HyperMind fills this gap as a SCITT profile that adds contested-claim primitives, a per-topic Bayesian reputation layer, and a swarm deliberation substrate — while remaining compatible with the outer SCITT envelope format.</w:t>
      </w:r>
    </w:p>
    <w:p>
      <w:pPr>
        <w:pStyle w:val="BodyText"/>
      </w:pPr>
      <w:r>
        <w:rPr>
          <w:b/>
          <w:bCs/>
        </w:rPr>
        <w:t xml:space="preserve">RQ2: What security properties does the protocol specify and enforce?</w:t>
      </w:r>
      <w:r>
        <w:t xml:space="preserve"> </w:t>
      </w:r>
      <w:r>
        <w:t xml:space="preserve">Twenty-four named invariants and WF-DOMAIN, covering algorithm binding (A-ALG-BOUND), monotone knowledge lifecycle (P-MONO, P-MONO-CITEABLE), atomic sealing (A-SEAL-ATOMIC), partition-aware dispute termination (I-DISPUTE-PARTITION), and fail-closed capability revocation (A-TOMB-REVOKE-DISJOINT). These invariants are specified at design level, enforced in the reference SDK via regression tests that pin specific code paths, and checked by the conformance CLI. Exhaustive state-space verification via TLA+ and Tamarin is planned for v1.0 GA but not yet delivered.</w:t>
      </w:r>
    </w:p>
    <w:p>
      <w:pPr>
        <w:pStyle w:val="BodyText"/>
      </w:pPr>
      <w:r>
        <w:rPr>
          <w:b/>
          <w:bCs/>
        </w:rPr>
        <w:t xml:space="preserve">RQ3: How does swarm deliberation interact with the cryptographic trust model?</w:t>
      </w:r>
      <w:r>
        <w:t xml:space="preserve"> </w:t>
      </w:r>
      <w:r>
        <w:t xml:space="preserve">Swarm deliberation operates only on CITEABLE claims that have cleared the sealing, calibration, and reputation gates. Role specialisation, information-gain planning, and anti-herding diversity metrics are implemented as a layer above the trust substrate, not as a bypass of it. The diverse-quorum sealing requirement and the Sybil guard are the primary defences; the living transmission mechanism provides secondary defence against slow laundering and credential accumulation through vouch chains.</w:t>
      </w:r>
    </w:p>
    <w:p>
      <w:pPr>
        <w:pStyle w:val="BodyText"/>
      </w:pPr>
      <w:r>
        <w:t xml:space="preserve">The six contributions — diverse-quorum sealing, calibration gating, partition-aware dispute FSM, living transmission, epoch-based revocation, and A-ALG-BOUND domain separation — together constitute a protocol that can serve as the trust substrate for an open agent internet: one in which autonomous agents share knowledge, contest claims, and build reputation without a central authority, and in which the chain of custody from a claim’s origin to its influence on downstream decisions is cryptographically auditable at every step. The design of the dual-condition momentum anomaly detector (§4.4) and its planned enforcement path in v0.10 extend this foundation to detection of artificial reputation acceleration. Empirical swarm-level behavioural evaluation at scale is the primary outstanding work item before the v0.2 milestone.</w:t>
      </w:r>
    </w:p>
    <w:p>
      <w:r>
        <w:pict>
          <v:rect style="width:0;height:1.5pt" o:hralign="center" o:hrstd="t" o:hr="t"/>
        </w:pict>
      </w:r>
    </w:p>
    <w:bookmarkEnd w:id="47"/>
    <w:bookmarkStart w:id="48" w:name="references"/>
    <w:p>
      <w:pPr>
        <w:pStyle w:val="Heading2"/>
      </w:pPr>
      <w:r>
        <w:t xml:space="preserve">References</w:t>
      </w:r>
    </w:p>
    <w:p>
      <w:pPr>
        <w:pStyle w:val="FirstParagraph"/>
      </w:pPr>
      <w:r>
        <w:t xml:space="preserve">Bormann, C., &amp; Hoffman, P. (2020).</w:t>
      </w:r>
      <w:r>
        <w:t xml:space="preserve"> </w:t>
      </w:r>
      <w:r>
        <w:rPr>
          <w:i/>
          <w:iCs/>
        </w:rPr>
        <w:t xml:space="preserve">Concise Binary Object Representation (CBOR)</w:t>
      </w:r>
      <w:r>
        <w:t xml:space="preserve"> </w:t>
      </w:r>
      <w:r>
        <w:t xml:space="preserve">(RFC 8949). Internet Engineering Task Force. https://www.rfc-editor.org/rfc/rfc8949</w:t>
      </w:r>
    </w:p>
    <w:p>
      <w:pPr>
        <w:pStyle w:val="BodyText"/>
      </w:pPr>
      <w:r>
        <w:t xml:space="preserve">Brier, G. W. (1950). Verification of forecasts expressed in terms of probability.</w:t>
      </w:r>
      <w:r>
        <w:t xml:space="preserve"> </w:t>
      </w:r>
      <w:r>
        <w:rPr>
          <w:i/>
          <w:iCs/>
        </w:rPr>
        <w:t xml:space="preserve">Monthly Weather Review, 78</w:t>
      </w:r>
      <w:r>
        <w:t xml:space="preserve">(1), 1–3. https://doi.org/10.1175/1520-0493(1950)078&lt;0001:VOFEIT&gt;2.0.CO;2</w:t>
      </w:r>
    </w:p>
    <w:p>
      <w:pPr>
        <w:pStyle w:val="BodyText"/>
      </w:pPr>
      <w:r>
        <w:t xml:space="preserve">Castro, M., &amp; Liskov, B. (1999). Practical Byzantine fault tolerance. In</w:t>
      </w:r>
      <w:r>
        <w:t xml:space="preserve"> </w:t>
      </w:r>
      <w:r>
        <w:rPr>
          <w:i/>
          <w:iCs/>
        </w:rPr>
        <w:t xml:space="preserve">Proceedings of the 3rd Symposium on Operating Systems Design and Implementation (OSDI ’99)</w:t>
      </w:r>
      <w:r>
        <w:t xml:space="preserve"> </w:t>
      </w:r>
      <w:r>
        <w:t xml:space="preserve">(pp. 173–186). USENIX Association.</w:t>
      </w:r>
    </w:p>
    <w:p>
      <w:pPr>
        <w:pStyle w:val="BodyText"/>
      </w:pPr>
      <w:r>
        <w:t xml:space="preserve">Drijvers, M., Komlo, C., &amp; Stebila, D. (2021). Security of multi-signatures and blind signatures in the algebraic group model.</w:t>
      </w:r>
      <w:r>
        <w:t xml:space="preserve"> </w:t>
      </w:r>
      <w:r>
        <w:rPr>
          <w:i/>
          <w:iCs/>
        </w:rPr>
        <w:t xml:space="preserve">2021 IEEE Symposium on Security and Privacy (S&amp;P)</w:t>
      </w:r>
      <w:r>
        <w:t xml:space="preserve">. https://doi.org/10.1109/SP40001.2021.00088</w:t>
      </w:r>
    </w:p>
    <w:p>
      <w:pPr>
        <w:pStyle w:val="BodyText"/>
      </w:pPr>
      <w:r>
        <w:t xml:space="preserve">Josefsson, S., &amp; Liusvaara, I. (2017).</w:t>
      </w:r>
      <w:r>
        <w:t xml:space="preserve"> </w:t>
      </w:r>
      <w:r>
        <w:rPr>
          <w:i/>
          <w:iCs/>
        </w:rPr>
        <w:t xml:space="preserve">Edwards-Curve Digital Signature Algorithm (EdDSA)</w:t>
      </w:r>
      <w:r>
        <w:t xml:space="preserve"> </w:t>
      </w:r>
      <w:r>
        <w:t xml:space="preserve">(RFC 8032). Internet Engineering Task Force. https://www.rfc-editor.org/rfc/rfc8032</w:t>
      </w:r>
    </w:p>
    <w:p>
      <w:pPr>
        <w:pStyle w:val="BodyText"/>
      </w:pPr>
      <w:r>
        <w:t xml:space="preserve">Jøsang, A., Ismail, R., &amp; Boyd, C. (2007). A survey of trust and reputation systems for online service provision.</w:t>
      </w:r>
      <w:r>
        <w:t xml:space="preserve"> </w:t>
      </w:r>
      <w:r>
        <w:rPr>
          <w:i/>
          <w:iCs/>
        </w:rPr>
        <w:t xml:space="preserve">Decision Support Systems, 43</w:t>
      </w:r>
      <w:r>
        <w:t xml:space="preserve">(2), 618–644. https://doi.org/10.1016/j.dss.2005.05.019</w:t>
      </w:r>
    </w:p>
    <w:p>
      <w:pPr>
        <w:pStyle w:val="BodyText"/>
      </w:pPr>
      <w:r>
        <w:t xml:space="preserve">Kamvar, S. D., Schlosser, M. T., &amp; Garcia-Molina, H. (2003). The Eigentrust algorithm for reputation management in P2P networks. In</w:t>
      </w:r>
      <w:r>
        <w:t xml:space="preserve"> </w:t>
      </w:r>
      <w:r>
        <w:rPr>
          <w:i/>
          <w:iCs/>
        </w:rPr>
        <w:t xml:space="preserve">Proceedings of the 12th International World Wide Web Conference (WWW ’03)</w:t>
      </w:r>
      <w:r>
        <w:t xml:space="preserve"> </w:t>
      </w:r>
      <w:r>
        <w:t xml:space="preserve">(pp. 640–651). ACM. https://doi.org/10.1145/775152.775242</w:t>
      </w:r>
    </w:p>
    <w:p>
      <w:pPr>
        <w:pStyle w:val="BodyText"/>
      </w:pPr>
      <w:r>
        <w:t xml:space="preserve">Komlo, C., &amp; Goldberg, I. (2020). FROST: Flexible round-optimized Schnorr threshold signatures. In</w:t>
      </w:r>
      <w:r>
        <w:t xml:space="preserve"> </w:t>
      </w:r>
      <w:r>
        <w:rPr>
          <w:i/>
          <w:iCs/>
        </w:rPr>
        <w:t xml:space="preserve">Selected Areas in Cryptography — SAC 2020</w:t>
      </w:r>
      <w:r>
        <w:t xml:space="preserve"> </w:t>
      </w:r>
      <w:r>
        <w:t xml:space="preserve">(LNCS 12804, pp. 34–65). Springer. [Standardised as RFC 9591, 2024. https://www.rfc-editor.org/rfc/rfc9591]</w:t>
      </w:r>
    </w:p>
    <w:p>
      <w:pPr>
        <w:pStyle w:val="BodyText"/>
      </w:pPr>
      <w:r>
        <w:t xml:space="preserve">Laurie, B., Langley, A., &amp; Kasper, E. (2013).</w:t>
      </w:r>
      <w:r>
        <w:t xml:space="preserve"> </w:t>
      </w:r>
      <w:r>
        <w:rPr>
          <w:i/>
          <w:iCs/>
        </w:rPr>
        <w:t xml:space="preserve">Certificate Transparency</w:t>
      </w:r>
      <w:r>
        <w:t xml:space="preserve"> </w:t>
      </w:r>
      <w:r>
        <w:t xml:space="preserve">(RFC 6962). Internet Engineering Task Force. https://www.rfc-editor.org/rfc/rfc6962</w:t>
      </w:r>
    </w:p>
    <w:p>
      <w:pPr>
        <w:pStyle w:val="BodyText"/>
      </w:pPr>
      <w:r>
        <w:t xml:space="preserve">McMahan, B., Moore, E., Ramage, D., Hampson, S., &amp; Agüera y Arcas, B. (2017). Communication-efficient learning of deep networks from decentralized data. In</w:t>
      </w:r>
      <w:r>
        <w:t xml:space="preserve"> </w:t>
      </w:r>
      <w:r>
        <w:rPr>
          <w:i/>
          <w:iCs/>
        </w:rPr>
        <w:t xml:space="preserve">Proceedings of the 20th International Conference on Artificial Intelligence and Statistics (AISTATS)</w:t>
      </w:r>
      <w:r>
        <w:t xml:space="preserve"> </w:t>
      </w:r>
      <w:r>
        <w:t xml:space="preserve">(Vol. 54, pp. 1273–1282). PMLR.</w:t>
      </w:r>
    </w:p>
    <w:p>
      <w:pPr>
        <w:pStyle w:val="BodyText"/>
      </w:pPr>
      <w:r>
        <w:t xml:space="preserve">National Institute of Standards and Technology. (2024).</w:t>
      </w:r>
      <w:r>
        <w:t xml:space="preserve"> </w:t>
      </w:r>
      <w:r>
        <w:rPr>
          <w:i/>
          <w:iCs/>
        </w:rPr>
        <w:t xml:space="preserve">Module-Lattice-Based Digital Signature Standard</w:t>
      </w:r>
      <w:r>
        <w:t xml:space="preserve"> </w:t>
      </w:r>
      <w:r>
        <w:t xml:space="preserve">(FIPS 204). U.S. Department of Commerce. https://doi.org/10.6028/NIST.FIPS.204</w:t>
      </w:r>
    </w:p>
    <w:p>
      <w:pPr>
        <w:pStyle w:val="BodyText"/>
      </w:pPr>
      <w:r>
        <w:t xml:space="preserve">Ounsworth, M., Gray, J., &amp; Pala, M. (2023).</w:t>
      </w:r>
      <w:r>
        <w:t xml:space="preserve"> </w:t>
      </w:r>
      <w:r>
        <w:rPr>
          <w:i/>
          <w:iCs/>
        </w:rPr>
        <w:t xml:space="preserve">Composite ML-DSA for use in Internet PKI</w:t>
      </w:r>
      <w:r>
        <w:t xml:space="preserve"> </w:t>
      </w:r>
      <w:r>
        <w:t xml:space="preserve">(draft-ietf-lamps-pq-composite-sigs-16). Internet Engineering Task Force. https://datatracker.ietf.org/doc/draft-ietf-lamps-pq-composite-sigs/</w:t>
      </w:r>
    </w:p>
    <w:p>
      <w:pPr>
        <w:pStyle w:val="BodyText"/>
      </w:pPr>
      <w:r>
        <w:t xml:space="preserve">Schaad, J. (2022).</w:t>
      </w:r>
      <w:r>
        <w:t xml:space="preserve"> </w:t>
      </w:r>
      <w:r>
        <w:rPr>
          <w:i/>
          <w:iCs/>
        </w:rPr>
        <w:t xml:space="preserve">CBOR Object Signing and Encryption (COSE): Structures and Process</w:t>
      </w:r>
      <w:r>
        <w:t xml:space="preserve"> </w:t>
      </w:r>
      <w:r>
        <w:t xml:space="preserve">(RFC 9052). Internet Engineering Task Force. https://www.rfc-editor.org/rfc/rfc9052</w:t>
      </w:r>
    </w:p>
    <w:p>
      <w:pPr>
        <w:pStyle w:val="BodyText"/>
      </w:pPr>
      <w:r>
        <w:t xml:space="preserve">Truskovsky, A., Birkholz, H., Delignat-Lavaud, A., Fournet, C., Lasker, G., &amp; Panos, S. (2023).</w:t>
      </w:r>
      <w:r>
        <w:t xml:space="preserve"> </w:t>
      </w:r>
      <w:r>
        <w:rPr>
          <w:i/>
          <w:iCs/>
        </w:rPr>
        <w:t xml:space="preserve">An Architecture for Trustworthy and Transparent Digital Supply Chains</w:t>
      </w:r>
      <w:r>
        <w:t xml:space="preserve"> </w:t>
      </w:r>
      <w:r>
        <w:t xml:space="preserve">(draft-ietf-scitt-architecture-22). Internet Engineering Task Force. https://datatracker.ietf.org/doc/draft-ietf-scitt-architecture/</w:t>
      </w:r>
    </w:p>
    <w:p>
      <w:pPr>
        <w:pStyle w:val="BodyText"/>
      </w:pPr>
      <w:r>
        <w:t xml:space="preserve">Yin, M., Malkhi, D., Reiter, M. K., Gueta, G. G., &amp; Abraham, I. (2019). HotStuff: BFT consensus with linearity and responsiveness. In</w:t>
      </w:r>
      <w:r>
        <w:t xml:space="preserve"> </w:t>
      </w:r>
      <w:r>
        <w:rPr>
          <w:i/>
          <w:iCs/>
        </w:rPr>
        <w:t xml:space="preserve">Proceedings of the 2019 ACM Symposium on Principles of Distributed Computing (PODC ’19)</w:t>
      </w:r>
      <w:r>
        <w:t xml:space="preserve"> </w:t>
      </w:r>
      <w:r>
        <w:t xml:space="preserve">(pp. 347–356). ACM. https://doi.org/10.1145/3293611.3331591</w:t>
      </w:r>
    </w:p>
    <w:p>
      <w:r>
        <w:pict>
          <v:rect style="width:0;height:1.5pt" o:hralign="center" o:hrstd="t" o:hr="t"/>
        </w:pict>
      </w:r>
    </w:p>
    <w:p>
      <w:pPr>
        <w:pStyle w:val="FirstParagraph"/>
      </w:pPr>
      <w:r>
        <w:rPr>
          <w:i/>
          <w:iCs/>
        </w:rPr>
        <w:t xml:space="preserve">Acknowledgements.</w:t>
      </w:r>
      <w:r>
        <w:t xml:space="preserve"> </w:t>
      </w:r>
      <w:r>
        <w:t xml:space="preserve">The author thanks the ZySec AI engineering team for the reference implementation and the anonymous reviewers of the expert-panel cycle for technical scrutiny of the security invariants.</w:t>
      </w:r>
    </w:p>
    <w:p>
      <w:pPr>
        <w:pStyle w:val="BodyText"/>
      </w:pPr>
      <w:r>
        <w:rPr>
          <w:i/>
          <w:iCs/>
        </w:rPr>
        <w:t xml:space="preserve">Availability.</w:t>
      </w:r>
      <w:r>
        <w:t xml:space="preserve"> </w:t>
      </w:r>
      <w:r>
        <w:t xml:space="preserve">The reference SDK, conformance test suite, and harness scenarios are available at the project repository. The</w:t>
      </w:r>
      <w:r>
        <w:t xml:space="preserve"> </w:t>
      </w:r>
      <w:r>
        <w:rPr>
          <w:rStyle w:val="VerbatimChar"/>
        </w:rPr>
        <w:t xml:space="preserve">reference_verifier/</w:t>
      </w:r>
      <w:r>
        <w:t xml:space="preserve"> </w:t>
      </w:r>
      <w:r>
        <w:t xml:space="preserve">package and</w:t>
      </w:r>
      <w:r>
        <w:t xml:space="preserve"> </w:t>
      </w:r>
      <w:r>
        <w:rPr>
          <w:rStyle w:val="VerbatimChar"/>
        </w:rPr>
        <w:t xml:space="preserve">tests/test_two_impl_interop.py</w:t>
      </w:r>
      <w:r>
        <w:t xml:space="preserve"> </w:t>
      </w:r>
      <w:r>
        <w:t xml:space="preserve">are included to facilitate independent verification.</w:t>
      </w:r>
    </w:p>
    <w:bookmarkEnd w:id="48"/>
    <w:bookmarkEnd w:id="49"/>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HyperMind: Cryptographic Chain of Custody and Swarm Deliberation for Federated AI Agents</dc:title>
  <dc:creator>Venky Siddi</dc:creator>
  <cp:keywords/>
  <dcterms:created xsi:type="dcterms:W3CDTF">2026-05-03T23:29:58Z</dcterms:created>
  <dcterms:modified xsi:type="dcterms:W3CDTF">2026-05-03T23:29:58Z</dcterms:modified>
</cp:coreProperties>
</file>

<file path=docProps/custom.xml><?xml version="1.0" encoding="utf-8"?>
<Properties xmlns="http://schemas.openxmlformats.org/officeDocument/2006/custom-properties" xmlns:vt="http://schemas.openxmlformats.org/officeDocument/2006/docPropsVTypes"/>
</file>