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Quarterly Report</w:t>
      </w:r>
    </w:p>
    <w:p>
      <w:r>
        <w:t>Revenue grew 15% year over year across all product lines.</w:t>
      </w:r>
    </w:p>
    <w:p>
      <w:pPr>
        <w:pStyle w:val="Heading2"/>
      </w:pPr>
      <w:r>
        <w:t>Revenue</w:t>
      </w:r>
    </w:p>
    <w:p>
      <w:r>
        <w:t>Total revenue was $1.2M, up from $1.04M last year.</w:t>
      </w:r>
    </w:p>
    <w:p>
      <w:pPr>
        <w:pStyle w:val="ListBullet"/>
      </w:pPr>
      <w:r>
        <w:t>Enterprise contracts grew fastest</w:t>
      </w:r>
    </w:p>
    <w:p>
      <w:pPr>
        <w:pStyle w:val="ListBullet"/>
      </w:pPr>
      <w:r>
        <w:t>SMB segment held steady</w:t>
      </w:r>
    </w:p>
    <w:p>
      <w:pPr>
        <w:pStyle w:val="ListBullet"/>
      </w:pPr>
      <w:r>
        <w:t>Consumer declined slightly</w:t>
      </w:r>
    </w:p>
    <w:p>
      <w:pPr>
        <w:pStyle w:val="Heading2"/>
      </w:pPr>
      <w:r>
        <w:t>Expenses</w:t>
      </w:r>
    </w:p>
    <w:p>
      <w:r>
        <w:t>Operating expenses were $800K.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Category</w:t>
            </w:r>
          </w:p>
        </w:tc>
        <w:tc>
          <w:tcPr>
            <w:tcW w:type="dxa" w:w="2880"/>
          </w:tcPr>
          <w:p>
            <w:r>
              <w:t>Amount</w:t>
            </w:r>
          </w:p>
        </w:tc>
        <w:tc>
          <w:tcPr>
            <w:tcW w:type="dxa" w:w="2880"/>
          </w:tcPr>
          <w:p>
            <w:r>
              <w:t>Change</w:t>
            </w:r>
          </w:p>
        </w:tc>
      </w:tr>
      <w:tr>
        <w:tc>
          <w:tcPr>
            <w:tcW w:type="dxa" w:w="2880"/>
          </w:tcPr>
          <w:p>
            <w:r>
              <w:t>Salaries</w:t>
            </w:r>
          </w:p>
        </w:tc>
        <w:tc>
          <w:tcPr>
            <w:tcW w:type="dxa" w:w="2880"/>
          </w:tcPr>
          <w:p>
            <w:r>
              <w:t>$500K</w:t>
            </w:r>
          </w:p>
        </w:tc>
        <w:tc>
          <w:tcPr>
            <w:tcW w:type="dxa" w:w="2880"/>
          </w:tcPr>
          <w:p>
            <w:r>
              <w:t>+5%</w:t>
            </w:r>
          </w:p>
        </w:tc>
      </w:tr>
      <w:tr>
        <w:tc>
          <w:tcPr>
            <w:tcW w:type="dxa" w:w="2880"/>
          </w:tcPr>
          <w:p>
            <w:r>
              <w:t>Rent</w:t>
            </w:r>
          </w:p>
        </w:tc>
        <w:tc>
          <w:tcPr>
            <w:tcW w:type="dxa" w:w="2880"/>
          </w:tcPr>
          <w:p>
            <w:r>
              <w:t>$200K</w:t>
            </w:r>
          </w:p>
        </w:tc>
        <w:tc>
          <w:tcPr>
            <w:tcW w:type="dxa" w:w="2880"/>
          </w:tcPr>
          <w:p>
            <w:r>
              <w:t>0%</w:t>
            </w:r>
          </w:p>
        </w:tc>
      </w:tr>
      <w:tr>
        <w:tc>
          <w:tcPr>
            <w:tcW w:type="dxa" w:w="2880"/>
          </w:tcPr>
          <w:p>
            <w:r>
              <w:t>Software</w:t>
            </w:r>
          </w:p>
        </w:tc>
        <w:tc>
          <w:tcPr>
            <w:tcW w:type="dxa" w:w="2880"/>
          </w:tcPr>
          <w:p>
            <w:r>
              <w:t>$100K</w:t>
            </w:r>
          </w:p>
        </w:tc>
        <w:tc>
          <w:tcPr>
            <w:tcW w:type="dxa" w:w="2880"/>
          </w:tcPr>
          <w:p>
            <w:r>
              <w:t>+12%</w:t>
            </w:r>
          </w:p>
        </w:tc>
      </w:tr>
    </w:tbl>
    <w:p>
      <w:pPr>
        <w:pStyle w:val="Heading2"/>
      </w:pPr>
      <w:r>
        <w:t>Conclusion</w:t>
      </w:r>
    </w:p>
    <w:p>
      <w:r>
        <w:t>Net profit improved 8% year over year.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