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Warehouse Technical Specification</w:t>
      </w:r>
    </w:p>
    <w:p>
      <w:r>
        <w:t>This document specifies the warehouse system at a high level.</w:t>
      </w:r>
    </w:p>
    <w:p>
      <w:pPr>
        <w:pStyle w:val="Heading2"/>
      </w:pPr>
      <w:r>
        <w:t>Scope</w:t>
      </w:r>
    </w:p>
    <w:p>
      <w:r>
        <w:t>Covers conveyors, racking and scanning equipment.</w:t>
      </w:r>
    </w:p>
    <w:p>
      <w:pPr>
        <w:pStyle w:val="Heading3"/>
      </w:pPr>
      <w:r>
        <w:t>Dimensions</w:t>
      </w:r>
    </w:p>
    <w:p>
      <w:r>
        <w:t>Each module measures 120 mm wide and draws 24 V; see PN-12345.</w:t>
      </w:r>
    </w:p>
    <w:p>
      <w:pPr>
        <w:pStyle w:val="Heading3"/>
      </w:pPr>
      <w:r>
        <w:t>Tolerances</w:t>
      </w:r>
    </w:p>
    <w:p>
      <w:r>
        <w:t>Permitted deviation is ±0.5° across 100% of units (µ-class).</w:t>
      </w:r>
    </w:p>
    <w:p>
      <w:pPr>
        <w:pStyle w:val="ListNumber"/>
      </w:pPr>
      <w:r>
        <w:t>Receive goods</w:t>
      </w:r>
    </w:p>
    <w:p>
      <w:pPr>
        <w:pStyle w:val="ListNumber"/>
      </w:pPr>
      <w:r>
        <w:t>Store goods</w:t>
      </w:r>
    </w:p>
    <w:p>
      <w:pPr>
        <w:pStyle w:val="ListNumber"/>
      </w:pPr>
      <w:r>
        <w:t>Pick goods</w:t>
      </w:r>
    </w:p>
    <w:p>
      <w:pPr>
        <w:pStyle w:val="Heading2"/>
      </w:pPr>
      <w:r>
        <w:t>Layout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rPr>
          <w:tblHeader/>
        </w:trPr>
        <w:tc>
          <w:tcPr>
            <w:tcW w:type="dxa" w:w="2880"/>
          </w:tcPr>
          <w:p>
            <w:r>
              <w:t>Item</w:t>
            </w:r>
          </w:p>
        </w:tc>
        <w:tc>
          <w:tcPr>
            <w:tcW w:type="dxa" w:w="2880"/>
          </w:tcPr>
          <w:p>
            <w:r>
              <w:t>Qty</w:t>
            </w:r>
          </w:p>
        </w:tc>
        <w:tc>
          <w:tcPr>
            <w:tcW w:type="dxa" w:w="2880"/>
          </w:tcPr>
          <w:p>
            <w:r>
              <w:t>Part No</w:t>
            </w:r>
          </w:p>
        </w:tc>
      </w:tr>
      <w:tr>
        <w:tc>
          <w:tcPr>
            <w:tcW w:type="dxa" w:w="2880"/>
          </w:tcPr>
          <w:p>
            <w:r>
              <w:t>Conveyor</w:t>
            </w:r>
          </w:p>
        </w:tc>
        <w:tc>
          <w:tcPr>
            <w:tcW w:type="dxa" w:w="2880"/>
          </w:tcPr>
          <w:p>
            <w:r>
              <w:t>2</w:t>
            </w:r>
          </w:p>
        </w:tc>
        <w:tc>
          <w:tcPr>
            <w:tcW w:type="dxa" w:w="2880"/>
          </w:tcPr>
          <w:p>
            <w:r>
              <w:t>PN-12345</w:t>
            </w:r>
          </w:p>
        </w:tc>
      </w:tr>
      <w:tr>
        <w:tc>
          <w:tcPr>
            <w:tcW w:type="dxa" w:w="2880"/>
          </w:tcPr>
          <w:p>
            <w:r>
              <w:t>Pallet rack</w:t>
            </w:r>
          </w:p>
        </w:tc>
        <w:tc>
          <w:tcPr>
            <w:tcW w:type="dxa" w:w="2880"/>
          </w:tcPr>
          <w:p>
            <w:r>
              <w:t>10</w:t>
            </w:r>
          </w:p>
        </w:tc>
        <w:tc>
          <w:tcPr>
            <w:tcW w:type="dxa" w:w="2880"/>
          </w:tcPr>
          <w:p>
            <w:r>
              <w:t>PN-67890</w:t>
            </w:r>
          </w:p>
        </w:tc>
      </w:tr>
      <w:tr>
        <w:tc>
          <w:tcPr>
            <w:tcW w:type="dxa" w:w="2880"/>
          </w:tcPr>
          <w:p>
            <w:r>
              <w:t>Scanner</w:t>
            </w:r>
          </w:p>
        </w:tc>
        <w:tc>
          <w:tcPr>
            <w:tcW w:type="dxa" w:w="2880"/>
          </w:tcPr>
          <w:p>
            <w:r>
              <w:t>5</w:t>
            </w:r>
          </w:p>
        </w:tc>
        <w:tc>
          <w:tcPr>
            <w:tcW w:type="dxa" w:w="2880"/>
          </w:tcPr>
          <w:p>
            <w:r>
              <w:t>SC-001</w:t>
            </w:r>
          </w:p>
        </w:tc>
      </w:tr>
    </w:tbl>
    <w:p>
      <w:r>
        <w:drawing>
          <wp:inline xmlns:a="http://schemas.openxmlformats.org/drawingml/2006/main" xmlns:pic="http://schemas.openxmlformats.org/drawingml/2006/picture">
            <wp:extent cx="50800" cy="508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50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ption"/>
      </w:pPr>
      <w:r>
        <w:t>Figure 1: Conveyor layout overview.</w:t>
      </w:r>
    </w:p>
    <w:p>
      <w:pPr>
        <w:pStyle w:val="Heading2"/>
      </w:pPr>
      <w:r>
        <w:t>Equipment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8640"/>
            <w:gridSpan w:val="3"/>
          </w:tcPr>
          <w:p>
            <w:r>
              <w:t>Equipment Tolerances</w:t>
            </w:r>
          </w:p>
          <w:p>
            <w:r/>
          </w:p>
          <w:p>
            <w:r/>
          </w:p>
        </w:tc>
      </w:tr>
      <w:tr>
        <w:tc>
          <w:tcPr>
            <w:tcW w:type="dxa" w:w="2880"/>
          </w:tcPr>
          <w:p>
            <w:r>
              <w:t>Clearance</w:t>
            </w:r>
          </w:p>
        </w:tc>
        <w:tc>
          <w:tcPr>
            <w:tcW w:type="dxa" w:w="2880"/>
          </w:tcPr>
          <w:p>
            <w:r>
              <w:t>±0.5°</w:t>
            </w:r>
          </w:p>
        </w:tc>
        <w:tc>
          <w:tcPr>
            <w:tcW w:type="dxa" w:w="2880"/>
          </w:tcPr>
          <w:p>
            <w:r>
              <w:t>±1.0°</w:t>
            </w:r>
          </w:p>
        </w:tc>
      </w:tr>
      <w:tr>
        <w:tc>
          <w:tcPr>
            <w:tcW w:type="dxa" w:w="2880"/>
          </w:tcPr>
          <w:p>
            <w:r>
              <w:t>Voltage</w:t>
            </w:r>
          </w:p>
        </w:tc>
        <w:tc>
          <w:tcPr>
            <w:tcW w:type="dxa" w:w="2880"/>
          </w:tcPr>
          <w:p>
            <w:r>
              <w:t>24 V</w:t>
            </w:r>
          </w:p>
        </w:tc>
        <w:tc>
          <w:tcPr>
            <w:tcW w:type="dxa" w:w="2880"/>
          </w:tcPr>
          <w:p>
            <w:r>
              <w:t>48 V</w:t>
            </w:r>
          </w:p>
        </w:tc>
      </w:tr>
    </w:tbl>
    <w:p>
      <w:r>
        <w:drawing>
          <wp:inline xmlns:a="http://schemas.openxmlformats.org/drawingml/2006/main" xmlns:pic="http://schemas.openxmlformats.org/drawingml/2006/picture">
            <wp:extent cx="50800" cy="508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50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Caption"/>
      </w:pPr>
      <w:r>
        <w:t>Figure 2: Rack elevation.</w:t>
      </w:r>
    </w:p>
    <w:p>
      <w:r>
        <w:drawing>
          <wp:inline xmlns:a="http://schemas.openxmlformats.org/drawingml/2006/main" xmlns:pic="http://schemas.openxmlformats.org/drawingml/2006/picture">
            <wp:extent cx="50800" cy="508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508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</w:pPr>
      <w:r>
        <w:t>References</w:t>
      </w:r>
    </w:p>
    <w:p>
      <w:r>
        <w:t>Refer to standard EN-1234 for compliance details.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