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920"/>
      </w:tblGrid>
      <w:tr w:rsidR="00126BBD" w14:paraId="455C468E" w14:textId="77777777" w:rsidTr="22504FF9">
        <w:tc>
          <w:tcPr>
            <w:tcW w:w="2430" w:type="dxa"/>
          </w:tcPr>
          <w:p w14:paraId="690CECC0" w14:textId="77777777" w:rsidR="00126BBD" w:rsidRPr="00AA55FD" w:rsidRDefault="00126BBD" w:rsidP="00126BBD">
            <w:pPr>
              <w:rPr>
                <w:b/>
                <w:bCs/>
              </w:rPr>
            </w:pPr>
            <w:r w:rsidRPr="00AA55FD">
              <w:rPr>
                <w:b/>
                <w:bCs/>
              </w:rPr>
              <w:t>Title:</w:t>
            </w:r>
          </w:p>
        </w:tc>
        <w:tc>
          <w:tcPr>
            <w:tcW w:w="6920" w:type="dxa"/>
          </w:tcPr>
          <w:p w14:paraId="2FE37DC2" w14:textId="6AE2FF20" w:rsidR="00126BBD" w:rsidRDefault="00126BBD" w:rsidP="00126BBD">
            <w:r w:rsidRPr="001760C6">
              <w:t>A M</w:t>
            </w:r>
            <w:r>
              <w:t>L</w:t>
            </w:r>
            <w:r w:rsidRPr="001760C6">
              <w:t xml:space="preserve"> Framework for Automated </w:t>
            </w:r>
            <w:r>
              <w:t>MG XS</w:t>
            </w:r>
            <w:r w:rsidRPr="001760C6">
              <w:t xml:space="preserve"> Librar</w:t>
            </w:r>
            <w:r>
              <w:t>y Tuning</w:t>
            </w:r>
          </w:p>
        </w:tc>
      </w:tr>
      <w:tr w:rsidR="00126BBD" w14:paraId="67AB763D" w14:textId="77777777" w:rsidTr="22504FF9">
        <w:tc>
          <w:tcPr>
            <w:tcW w:w="2430" w:type="dxa"/>
          </w:tcPr>
          <w:p w14:paraId="000B8F94" w14:textId="77777777" w:rsidR="00126BBD" w:rsidRDefault="00126BBD" w:rsidP="00126BBD">
            <w:r>
              <w:rPr>
                <w:b/>
                <w:bCs/>
              </w:rPr>
              <w:t>Technical Topic Area:</w:t>
            </w:r>
          </w:p>
        </w:tc>
        <w:tc>
          <w:tcPr>
            <w:tcW w:w="6920" w:type="dxa"/>
          </w:tcPr>
          <w:p w14:paraId="568FDA03" w14:textId="77777777" w:rsidR="00126BBD" w:rsidRDefault="00126BBD" w:rsidP="00126BBD">
            <w:r w:rsidRPr="00AA55FD">
              <w:t>Topic Area 9 - Modeling and Simulation</w:t>
            </w:r>
          </w:p>
        </w:tc>
      </w:tr>
      <w:tr w:rsidR="00126BBD" w14:paraId="055596D5" w14:textId="77777777" w:rsidTr="22504FF9">
        <w:tc>
          <w:tcPr>
            <w:tcW w:w="2430" w:type="dxa"/>
          </w:tcPr>
          <w:p w14:paraId="37E3DEC6" w14:textId="77777777" w:rsidR="00126BBD" w:rsidRPr="00AA55FD" w:rsidRDefault="00126BBD" w:rsidP="00126BBD">
            <w:pPr>
              <w:rPr>
                <w:b/>
                <w:bCs/>
              </w:rPr>
            </w:pPr>
            <w:r>
              <w:rPr>
                <w:b/>
                <w:bCs/>
              </w:rPr>
              <w:t>PI:</w:t>
            </w:r>
          </w:p>
        </w:tc>
        <w:tc>
          <w:tcPr>
            <w:tcW w:w="6920" w:type="dxa"/>
          </w:tcPr>
          <w:p w14:paraId="3BE618E3" w14:textId="77777777" w:rsidR="00126BBD" w:rsidRDefault="00126BBD" w:rsidP="00126BBD">
            <w:r>
              <w:t>Cole Gentry (University of Texas)</w:t>
            </w:r>
          </w:p>
        </w:tc>
      </w:tr>
      <w:tr w:rsidR="00126BBD" w14:paraId="6FA64C8A" w14:textId="77777777" w:rsidTr="22504FF9">
        <w:tc>
          <w:tcPr>
            <w:tcW w:w="2430" w:type="dxa"/>
          </w:tcPr>
          <w:p w14:paraId="3F881F1A" w14:textId="77777777" w:rsidR="00126BBD" w:rsidRDefault="00126BBD" w:rsidP="00126BBD">
            <w:r w:rsidRPr="000D0B55">
              <w:rPr>
                <w:b/>
                <w:bCs/>
              </w:rPr>
              <w:t>Collaborators:</w:t>
            </w:r>
          </w:p>
        </w:tc>
        <w:tc>
          <w:tcPr>
            <w:tcW w:w="6920" w:type="dxa"/>
          </w:tcPr>
          <w:p w14:paraId="641E0B59" w14:textId="1E2397BB" w:rsidR="00126BBD" w:rsidRDefault="00126BBD" w:rsidP="00126BBD">
            <w:proofErr w:type="spellStart"/>
            <w:r>
              <w:t>Yaqi</w:t>
            </w:r>
            <w:proofErr w:type="spellEnd"/>
            <w:r>
              <w:t xml:space="preserve"> Wang (INL)</w:t>
            </w:r>
          </w:p>
        </w:tc>
      </w:tr>
    </w:tbl>
    <w:p w14:paraId="4252220C" w14:textId="77777777" w:rsidR="00D319F0" w:rsidRDefault="00D319F0" w:rsidP="00D319F0"/>
    <w:p w14:paraId="63F10478" w14:textId="77777777" w:rsidR="00D319F0" w:rsidRPr="00AA55FD" w:rsidRDefault="00D319F0" w:rsidP="00D319F0">
      <w:pPr>
        <w:rPr>
          <w:u w:val="single"/>
        </w:rPr>
      </w:pPr>
      <w:r>
        <w:rPr>
          <w:u w:val="single"/>
        </w:rPr>
        <w:t>Identification and Significance of Problem or Opportunity</w:t>
      </w:r>
    </w:p>
    <w:p w14:paraId="3EB337D7" w14:textId="77777777" w:rsidR="00CF3A53" w:rsidRDefault="00CF3A53" w:rsidP="00D319F0"/>
    <w:p w14:paraId="72F482D6" w14:textId="11978B01" w:rsidR="00691E38" w:rsidRDefault="00FB190F" w:rsidP="00D319F0">
      <w:r w:rsidRPr="00C76623">
        <w:t xml:space="preserve">Deterministic multigroup (MG) neutron transport methods remain foundational in reactor analysis because they offer a practical balance of physics-based fidelity, computational efficiency, and flexibility for </w:t>
      </w:r>
      <w:proofErr w:type="gramStart"/>
      <w:r w:rsidRPr="00C76623">
        <w:t>coupling to</w:t>
      </w:r>
      <w:proofErr w:type="gramEnd"/>
      <w:r w:rsidRPr="00C76623">
        <w:t xml:space="preserve"> depletion and </w:t>
      </w:r>
      <w:proofErr w:type="spellStart"/>
      <w:r w:rsidRPr="00C76623">
        <w:t>multiphysics</w:t>
      </w:r>
      <w:proofErr w:type="spellEnd"/>
      <w:r w:rsidRPr="00C76623">
        <w:t xml:space="preserve"> workflows.  In widely used production toolchains such as</w:t>
      </w:r>
      <w:r>
        <w:t xml:space="preserve"> Griffin [</w:t>
      </w:r>
      <w:r>
        <w:fldChar w:fldCharType="begin"/>
      </w:r>
      <w:r>
        <w:instrText xml:space="preserve"> REF _Ref220062653 \r \h </w:instrText>
      </w:r>
      <w:r>
        <w:fldChar w:fldCharType="separate"/>
      </w:r>
      <w:r>
        <w:t>1</w:t>
      </w:r>
      <w:r>
        <w:fldChar w:fldCharType="end"/>
      </w:r>
      <w:r>
        <w:t xml:space="preserve">] and SCALE </w:t>
      </w:r>
      <w:r w:rsidRPr="00C76623">
        <w:t xml:space="preserve">(e.g., </w:t>
      </w:r>
      <w:r>
        <w:t>MG-</w:t>
      </w:r>
      <w:r w:rsidRPr="00C76623">
        <w:t>TRITON and associated cross-section processing)</w:t>
      </w:r>
      <w:r>
        <w:t xml:space="preserve"> [</w:t>
      </w:r>
      <w:r>
        <w:fldChar w:fldCharType="begin"/>
      </w:r>
      <w:r>
        <w:instrText xml:space="preserve"> REF _Ref220062677 \r \h </w:instrText>
      </w:r>
      <w:r>
        <w:fldChar w:fldCharType="separate"/>
      </w:r>
      <w:r>
        <w:t>2</w:t>
      </w:r>
      <w:r>
        <w:fldChar w:fldCharType="end"/>
      </w:r>
      <w:r>
        <w:t>]</w:t>
      </w:r>
      <w:r w:rsidRPr="00C76623">
        <w:t>, this capability depends critically on the availability of MG cross-section</w:t>
      </w:r>
      <w:r>
        <w:t xml:space="preserve"> (XS)</w:t>
      </w:r>
      <w:r w:rsidRPr="00C76623">
        <w:t xml:space="preserve"> libraries that represent resonance behavior and spectral effects in a solver-usable form</w:t>
      </w:r>
      <w:r>
        <w:t>.</w:t>
      </w:r>
    </w:p>
    <w:p w14:paraId="6AEB640C" w14:textId="77777777" w:rsidR="00691E38" w:rsidRDefault="00691E38" w:rsidP="00D319F0"/>
    <w:p w14:paraId="3BDFF657" w14:textId="2DA33F21" w:rsidR="00FB190F" w:rsidRDefault="00FB190F" w:rsidP="001F40FB">
      <w:r w:rsidRPr="00FB190F">
        <w:t xml:space="preserve">A central reason modern deterministic workflows </w:t>
      </w:r>
      <w:r w:rsidR="001F40FB">
        <w:t xml:space="preserve">can </w:t>
      </w:r>
      <w:r w:rsidRPr="00FB190F">
        <w:t xml:space="preserve">remain broadly applicable </w:t>
      </w:r>
      <w:r w:rsidR="001F40FB">
        <w:t>by using</w:t>
      </w:r>
      <w:r w:rsidRPr="00FB190F">
        <w:t xml:space="preserve"> </w:t>
      </w:r>
      <w:r>
        <w:t>MG</w:t>
      </w:r>
      <w:r w:rsidRPr="00FB190F">
        <w:t xml:space="preserve"> cross-section treatment</w:t>
      </w:r>
      <w:r w:rsidR="001F40FB">
        <w:t>s</w:t>
      </w:r>
      <w:r w:rsidRPr="00FB190F">
        <w:t xml:space="preserve"> not limited to simple few-parameter fits tied to a single application. Instead, production </w:t>
      </w:r>
      <w:proofErr w:type="gramStart"/>
      <w:r w:rsidRPr="00FB190F">
        <w:t>toolchains</w:t>
      </w:r>
      <w:proofErr w:type="gramEnd"/>
      <w:r w:rsidRPr="00FB190F">
        <w:t xml:space="preserve"> such as Griffin</w:t>
      </w:r>
      <w:r w:rsidR="001F40FB">
        <w:t xml:space="preserve"> and </w:t>
      </w:r>
      <w:r w:rsidR="001F40FB" w:rsidRPr="00FB190F">
        <w:t>SCALE</w:t>
      </w:r>
      <w:r w:rsidR="001F40FB">
        <w:t xml:space="preserve"> can</w:t>
      </w:r>
      <w:r w:rsidRPr="00FB190F">
        <w:t xml:space="preserve"> employ generalized self-shielding and frameworks built around pre-generated, problem-independent nuclear data structures that can be rapidly specialized to many conditions. </w:t>
      </w:r>
      <w:r w:rsidR="001F40FB" w:rsidRPr="00FB190F">
        <w:t>In Griffin, the ISOXML/SSAPI capability supports online cross-section generation using a TONE-based method coupled with a heterogeneous table approach, producing effective isotopic MG cross sections from precomputed unit-cell data parameterized over temperature and background environment [</w:t>
      </w:r>
      <w:r w:rsidR="001F40FB">
        <w:fldChar w:fldCharType="begin"/>
      </w:r>
      <w:r w:rsidR="001F40FB">
        <w:instrText xml:space="preserve"> REF _Ref220062653 \r \h </w:instrText>
      </w:r>
      <w:r w:rsidR="001F40FB">
        <w:fldChar w:fldCharType="separate"/>
      </w:r>
      <w:r w:rsidR="001F40FB">
        <w:t>1</w:t>
      </w:r>
      <w:r w:rsidR="001F40FB">
        <w:fldChar w:fldCharType="end"/>
      </w:r>
      <w:r w:rsidR="001F40FB" w:rsidRPr="00FB190F">
        <w:t>].</w:t>
      </w:r>
      <w:r w:rsidR="001F40FB">
        <w:t xml:space="preserve"> </w:t>
      </w:r>
      <w:r w:rsidRPr="00FB190F">
        <w:t xml:space="preserve">In SCALE, Bondarenko-style resonance self-shielding (e.g., BONAMI) and related methods parameterize effective MG behavior using quantities such as infinitely </w:t>
      </w:r>
      <w:proofErr w:type="gramStart"/>
      <w:r w:rsidRPr="00FB190F">
        <w:t>dilute</w:t>
      </w:r>
      <w:proofErr w:type="gramEnd"/>
      <w:r w:rsidRPr="00FB190F">
        <w:t xml:space="preserve"> cross sections and shielding factors tabulated versus background cross section and temperature [</w:t>
      </w:r>
      <w:r w:rsidR="001F40FB">
        <w:fldChar w:fldCharType="begin"/>
      </w:r>
      <w:r w:rsidR="001F40FB">
        <w:instrText xml:space="preserve"> REF _Ref220062677 \r \h </w:instrText>
      </w:r>
      <w:r w:rsidR="001F40FB">
        <w:fldChar w:fldCharType="separate"/>
      </w:r>
      <w:r w:rsidR="001F40FB">
        <w:t>2</w:t>
      </w:r>
      <w:r w:rsidR="001F40FB">
        <w:fldChar w:fldCharType="end"/>
      </w:r>
      <w:r w:rsidRPr="00FB190F">
        <w:t>]. In both cases, these generalized libraries and tabulations enable efficient reuse across many compositions, temperatures, and spectral regimes by producing problem-dependent, self-shielded MG data via interpolation and equivalence relationships rather than repeated high-cost slowing-down calculations</w:t>
      </w:r>
    </w:p>
    <w:p w14:paraId="3114FF6E" w14:textId="77777777" w:rsidR="00FB190F" w:rsidRDefault="00FB190F" w:rsidP="00D319F0"/>
    <w:p w14:paraId="6FB9F517" w14:textId="1340592F" w:rsidR="001F40FB" w:rsidRDefault="00356205" w:rsidP="00D319F0">
      <w:r w:rsidRPr="008125B1">
        <w:t xml:space="preserve">Despite the robustness of these generalized methods, a major bottleneck </w:t>
      </w:r>
      <w:proofErr w:type="gramStart"/>
      <w:r w:rsidRPr="008125B1">
        <w:t>persists:</w:t>
      </w:r>
      <w:proofErr w:type="gramEnd"/>
      <w:r w:rsidRPr="008125B1">
        <w:t xml:space="preserve"> designing, calibrating, and maintaining the </w:t>
      </w:r>
      <w:r>
        <w:t xml:space="preserve">generalized </w:t>
      </w:r>
      <w:r w:rsidRPr="008125B1">
        <w:t xml:space="preserve">MG library infrastructure itself. Library accuracy and applicability depend on interdependent choices such as energy group structure; resonance/self-shielding parameterization (e.g., background </w:t>
      </w:r>
      <w:r>
        <w:t>XS</w:t>
      </w:r>
      <w:r w:rsidRPr="008125B1">
        <w:t xml:space="preserve"> grids and shielding-factor ranges); subgroup/probability-table design (where used); and practical constraints imposed by downstream solvers (memory footprint and runtime sensitivity to group/subgroup resolution). Today, achieving acceptable agreement over a representative case matrix often requires iterative expert-driven adjustments and “hand tuning,” and adapting an existing library to a new reactor class can be especially burdensome. For example, moving from light-water-reactor (LWR) conditions to molten-salt-reactor (MSR) environments entails substantial shifts in spectrum, temperature ranges, absorption environments, and chemical composition</w:t>
      </w:r>
      <w:r>
        <w:t xml:space="preserve">, </w:t>
      </w:r>
      <w:r w:rsidRPr="008125B1">
        <w:t>conditions that can expose systematic biases in libraries tuned primarily for LWR domains. The consequence is a slow, expensive, and expertise-limited process that impedes rapid, reproducible deployment of deterministic workflows in emerging reactor concepts</w:t>
      </w:r>
      <w:r>
        <w:t>.</w:t>
      </w:r>
    </w:p>
    <w:p w14:paraId="5644C697" w14:textId="77777777" w:rsidR="00356205" w:rsidRDefault="00356205" w:rsidP="00356205">
      <w:r w:rsidRPr="008125B1">
        <w:lastRenderedPageBreak/>
        <w:t xml:space="preserve">This project addresses this gap by developing a systematic, ML-guided MG library tuning and adaptation capability that treats library calibration as a constrained inverse problem. Starting from a highly generalized prior library and a well-defined case matrix </w:t>
      </w:r>
      <w:r>
        <w:t>from which to derive</w:t>
      </w:r>
      <w:r w:rsidRPr="008125B1">
        <w:t xml:space="preserve"> reference responses, the framework will optimize a bounded set of tunable library degrees of freedom (e.g., selected self-shielding parameter grids, subgroup/equivalence parameters, and</w:t>
      </w:r>
      <w:r>
        <w:t xml:space="preserve"> </w:t>
      </w:r>
      <w:r w:rsidRPr="008125B1">
        <w:t xml:space="preserve">targeted group refinement/condensation). The optimization will be performed </w:t>
      </w:r>
      <w:r w:rsidRPr="002C5F97">
        <w:t>under explicit physics and computational guardrails, including positivity/preservation constraints, conservation/consistency constraints on reaction-rate structure, and regularization toward the prior library to prevent unphysical overfitting, in addition to solver-cost constraints on group/subgroup resolution.</w:t>
      </w:r>
      <w:r w:rsidRPr="008125B1">
        <w:t xml:space="preserve"> If successful, this capability will substantially reduce the cost and specialized effort required to produce application-specific MG libraries, enabling faster tuning for new reactor classes and operating envelopes (including LWR-to-MSR adaptation) while formalizing expert judgment into repeatable optimization procedures.</w:t>
      </w:r>
    </w:p>
    <w:p w14:paraId="2EBEE890" w14:textId="77777777" w:rsidR="001F40FB" w:rsidRDefault="001F40FB" w:rsidP="00D319F0"/>
    <w:p w14:paraId="5C10F027" w14:textId="77777777" w:rsidR="00D319F0" w:rsidRPr="00AA55FD" w:rsidRDefault="00D319F0" w:rsidP="00D319F0">
      <w:pPr>
        <w:rPr>
          <w:u w:val="single"/>
        </w:rPr>
      </w:pPr>
      <w:r w:rsidRPr="00AA55FD">
        <w:rPr>
          <w:u w:val="single"/>
        </w:rPr>
        <w:t>Technical Approach</w:t>
      </w:r>
    </w:p>
    <w:p w14:paraId="10D9F172" w14:textId="77777777" w:rsidR="00D319F0" w:rsidRDefault="00D319F0" w:rsidP="00D319F0"/>
    <w:p w14:paraId="36F9DAF4" w14:textId="77777777" w:rsidR="00356205" w:rsidRDefault="00356205" w:rsidP="00356205">
      <w:r w:rsidRPr="00357414">
        <w:t>Some efforts have been made to formalize and partially automate the formulation of</w:t>
      </w:r>
      <w:r>
        <w:t xml:space="preserve"> MG XS</w:t>
      </w:r>
      <w:r w:rsidRPr="00357414">
        <w:t xml:space="preserve"> libraries, but these efforts have focused primarily on energy group structure selection and condensation rather than on the broader set of library design and calibration choices. In conventional deterministic workflows, group condensation is typically performed through a prescribed step-by-step collapsing “march” [</w:t>
      </w:r>
      <w:r>
        <w:fldChar w:fldCharType="begin"/>
      </w:r>
      <w:r>
        <w:instrText xml:space="preserve"> REF _Ref219978547 \r \h </w:instrText>
      </w:r>
      <w:r>
        <w:fldChar w:fldCharType="separate"/>
      </w:r>
      <w:r>
        <w:t>3</w:t>
      </w:r>
      <w:r>
        <w:fldChar w:fldCharType="end"/>
      </w:r>
      <w:r w:rsidRPr="00357414">
        <w:t>]</w:t>
      </w:r>
      <w:r>
        <w:t xml:space="preserve">. </w:t>
      </w:r>
      <w:r w:rsidRPr="00357414">
        <w:t xml:space="preserve"> Related work has explored machine-learning-inspired search strategies, such as genetic algorithms, to explore candidate multigroup structures under user-defined fitness functions and performance metrics [</w:t>
      </w:r>
      <w:r>
        <w:fldChar w:fldCharType="begin"/>
      </w:r>
      <w:r>
        <w:instrText xml:space="preserve"> REF _Ref219978713 \r \h </w:instrText>
      </w:r>
      <w:r>
        <w:fldChar w:fldCharType="separate"/>
      </w:r>
      <w:r>
        <w:t>4</w:t>
      </w:r>
      <w:r>
        <w:fldChar w:fldCharType="end"/>
      </w:r>
      <w:r w:rsidRPr="00357414">
        <w:t xml:space="preserve">]. However, the literature and current practice suggest that automation has largely stopped at group-structure tuning, with comparatively limited attention to unified optimization of </w:t>
      </w:r>
      <w:proofErr w:type="gramStart"/>
      <w:r w:rsidRPr="00357414">
        <w:t>other</w:t>
      </w:r>
      <w:proofErr w:type="gramEnd"/>
      <w:r w:rsidRPr="00357414">
        <w:t xml:space="preserve"> influential library “hyperparameters</w:t>
      </w:r>
      <w:r>
        <w:t>.</w:t>
      </w:r>
    </w:p>
    <w:p w14:paraId="2A5191D7" w14:textId="77777777" w:rsidR="00356205" w:rsidRDefault="00356205" w:rsidP="00356205"/>
    <w:p w14:paraId="1654BEB9" w14:textId="77777777" w:rsidR="00356205" w:rsidRDefault="00356205" w:rsidP="00356205">
      <w:r w:rsidRPr="00820160">
        <w:t>This project will generalize MG XS library optimization beyond energy group structure alone to encompass the broader set of library “hyperparameters” that materially control accuracy and portability. In addition to automated refinement/condensation of the energy group structure, the proposed tuning engine will explicitly support optimization over resonance and self-shielding parameterizations (e.g., background cross-section grid design and range, subgroup/probability-table design choices and resolution), equivalence-</w:t>
      </w:r>
      <w:r w:rsidRPr="00356205">
        <w:t>model/weighting-spectrum knobs used in collapsing and homogenization, and an optional residual correction layer for post-structure fine-tuning. The residual layer is intended to capture systematic</w:t>
      </w:r>
      <w:r w:rsidRPr="00820160">
        <w:t>, case-matrix-observed discrepancies that persist after structural tuning, but will be implemented in a constrained, low-dimensional form (e.g., smooth, bounded corrections applied to selected isotope–reaction–energy ranges) to preserve physical plausibility and avoid “free-form” editing of microscopic cross sections.</w:t>
      </w:r>
      <w:r>
        <w:t xml:space="preserve"> </w:t>
      </w:r>
      <w:r w:rsidRPr="002C5F97">
        <w:t xml:space="preserve">All tunable updates will be constrained by enforceable physics </w:t>
      </w:r>
      <w:proofErr w:type="gramStart"/>
      <w:r w:rsidRPr="002C5F97">
        <w:t>priors</w:t>
      </w:r>
      <w:proofErr w:type="gramEnd"/>
      <w:r w:rsidRPr="002C5F97">
        <w:t>, so that additional flexibility does not devolve into unconstrained cross-section editing.</w:t>
      </w:r>
    </w:p>
    <w:p w14:paraId="4C257BF9" w14:textId="77777777" w:rsidR="00356205" w:rsidRDefault="00356205" w:rsidP="00356205"/>
    <w:p w14:paraId="5511E535" w14:textId="77777777" w:rsidR="00356205" w:rsidRDefault="00356205" w:rsidP="00356205">
      <w:r w:rsidRPr="00820160">
        <w:t xml:space="preserve">Because this tuning problem combines discrete structural decisions (e.g., group boundary moves, split/merge actions, subgroup count or table-resolution changes) with continuous parameters (e.g., background grid placements, fit weights, correction amplitudes), we will </w:t>
      </w:r>
      <w:r w:rsidRPr="00820160">
        <w:lastRenderedPageBreak/>
        <w:t>implement a hybrid optimization stack with interchangeable back ends. Reinforcement learning (RL) will be emphasized for sequential structural adaptation, where the tuning process can be posed as a constrained decision sequence that trades off improvements in weighted prediction error against explicit complexity penalties (e.g., group/subgroup counts, memory footprint proxies). For continuous tuning within a fixed structure</w:t>
      </w:r>
      <w:r>
        <w:t xml:space="preserve"> (</w:t>
      </w:r>
      <w:r w:rsidRPr="00820160">
        <w:t>or for early prototyping and benchmarking</w:t>
      </w:r>
      <w:r>
        <w:t xml:space="preserve">) </w:t>
      </w:r>
      <w:r w:rsidRPr="00820160">
        <w:t>Bayesian optimization and/or robust evolutionary strategies will be supported as complementary alternatives. The overall framework will be designed to be configurable and tool-agnostic: users will specify which degrees of freedom are eligible for optimization, which performance metrics (e.g., eigenvalue, integral reaction rates, isotope-specific reaction rates</w:t>
      </w:r>
      <w:r>
        <w:t xml:space="preserve">) </w:t>
      </w:r>
      <w:r w:rsidRPr="00820160">
        <w:t>are included in the objective, and how those metrics are weighted. A standardized application programming interface (API) will expose library variants, case-matrix evaluations, objective computation, and constraint/guardrail checks so that multiple optimization engines and external workflows can interact with the tuning capability in a consistent and reproducible way.</w:t>
      </w:r>
      <w:r>
        <w:t xml:space="preserve"> It should be noted that this workflow will allow for the use of surrogate or multi-fidelity evaluations when the cost of </w:t>
      </w:r>
      <w:r w:rsidRPr="00820160">
        <w:t xml:space="preserve">full transport/depletion evaluation across a representative case matrix </w:t>
      </w:r>
      <w:proofErr w:type="gramStart"/>
      <w:r>
        <w:t>become</w:t>
      </w:r>
      <w:proofErr w:type="gramEnd"/>
      <w:r w:rsidRPr="00820160">
        <w:t xml:space="preserve"> computationally expensive</w:t>
      </w:r>
      <w:r>
        <w:t xml:space="preserve">. </w:t>
      </w:r>
      <w:r w:rsidRPr="00820160">
        <w:t xml:space="preserve">These acceleration mechanisms </w:t>
      </w:r>
      <w:r>
        <w:t>may be used</w:t>
      </w:r>
      <w:r w:rsidRPr="00820160">
        <w:t xml:space="preserve"> to improve sample efficiency without compromising the defensibility of the final tuned library, which will ultimately be validated using the full-fidelity deterministic workflow against held-out cases and targeted benchmark comparisons.</w:t>
      </w:r>
      <w:r>
        <w:t xml:space="preserve">  An illustration of the proposed workflow is shown in Figure 1.</w:t>
      </w:r>
    </w:p>
    <w:p w14:paraId="0E5762AD" w14:textId="77777777" w:rsidR="00820160" w:rsidRDefault="00820160" w:rsidP="00D319F0"/>
    <w:p w14:paraId="08FF16F6" w14:textId="10CC9E4D" w:rsidR="00E052B2" w:rsidRDefault="00C05AFA" w:rsidP="00E052B2">
      <w:pPr>
        <w:jc w:val="center"/>
      </w:pPr>
      <w:r w:rsidRPr="00C05AFA">
        <w:rPr>
          <w:noProof/>
        </w:rPr>
        <w:drawing>
          <wp:inline distT="0" distB="0" distL="0" distR="0" wp14:anchorId="14E1B4D6" wp14:editId="3CC26453">
            <wp:extent cx="4362527" cy="4038600"/>
            <wp:effectExtent l="0" t="0" r="0" b="0"/>
            <wp:docPr id="252010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010169" name=""/>
                    <pic:cNvPicPr/>
                  </pic:nvPicPr>
                  <pic:blipFill>
                    <a:blip r:embed="rId6"/>
                    <a:stretch>
                      <a:fillRect/>
                    </a:stretch>
                  </pic:blipFill>
                  <pic:spPr>
                    <a:xfrm>
                      <a:off x="0" y="0"/>
                      <a:ext cx="4365885" cy="4041709"/>
                    </a:xfrm>
                    <a:prstGeom prst="rect">
                      <a:avLst/>
                    </a:prstGeom>
                  </pic:spPr>
                </pic:pic>
              </a:graphicData>
            </a:graphic>
          </wp:inline>
        </w:drawing>
      </w:r>
    </w:p>
    <w:p w14:paraId="5BC1C404" w14:textId="28E0FA16" w:rsidR="00E052B2" w:rsidRPr="00C05AFA" w:rsidRDefault="00E052B2" w:rsidP="00E052B2">
      <w:pPr>
        <w:jc w:val="center"/>
        <w:rPr>
          <w:sz w:val="22"/>
          <w:szCs w:val="22"/>
        </w:rPr>
      </w:pPr>
      <w:r w:rsidRPr="00C05AFA">
        <w:rPr>
          <w:sz w:val="22"/>
          <w:szCs w:val="22"/>
        </w:rPr>
        <w:t xml:space="preserve">Figure 1: </w:t>
      </w:r>
      <w:r w:rsidR="00C05AFA" w:rsidRPr="00C05AFA">
        <w:rPr>
          <w:sz w:val="22"/>
          <w:szCs w:val="22"/>
        </w:rPr>
        <w:t>Workflow for multi-fidelity tuning of MG cross-section libraries</w:t>
      </w:r>
    </w:p>
    <w:p w14:paraId="52E9AFEB" w14:textId="77777777" w:rsidR="00D319F0" w:rsidRDefault="00D319F0" w:rsidP="00D319F0">
      <w:r>
        <w:rPr>
          <w:u w:val="single"/>
        </w:rPr>
        <w:lastRenderedPageBreak/>
        <w:t>Anticipated Benefits</w:t>
      </w:r>
    </w:p>
    <w:p w14:paraId="6A0EBF68" w14:textId="77777777" w:rsidR="00D319F0" w:rsidRDefault="00D319F0" w:rsidP="00D319F0"/>
    <w:p w14:paraId="78E8137A" w14:textId="7AC9AA99" w:rsidR="004E6ACB" w:rsidRDefault="008C6AD3" w:rsidP="00D319F0">
      <w:r w:rsidRPr="008C6AD3">
        <w:t>This project will advance DOE Topic Area 9 priorities by delivering a new modeling-and-simulation capability for systematic calibration and adaptation of MG cross-section libraries used in deterministic reactor analysis workflows, reducing reliance on scarce expert “hand tuning” and accelerating deployment of solver-ready libraries across reactor classes and operating envelopes. By jointly optimizing energy group structure and other high-impact library hyperparameters under explicit solver constraints, the framework is expected to improve agreement with trusted reference responses for key quantities of interest while maintaining practical memory footprint and runtime performance. A multi-fidelity optimization strategy</w:t>
      </w:r>
      <w:r>
        <w:t xml:space="preserve">, </w:t>
      </w:r>
      <w:r w:rsidRPr="008C6AD3">
        <w:t>surrogate or low-cost screening followed by high-cost confirmation</w:t>
      </w:r>
      <w:r>
        <w:t xml:space="preserve">, </w:t>
      </w:r>
      <w:r w:rsidRPr="008C6AD3">
        <w:t>paired with physics-based constraints/guardrails will make comprehensive tuning both computationally feasible and technically defensible, producing calibrated libraries that preserve physical plausibility rather than overfitting to a narrow case set. The standardized, configurable interface will further enable reproducible updates, transparent tradeoffs, and easier transition into established cross-section processing workflows. Collectively, these outcomes strengthen the predictive reliability and portability of deterministic modeling tools and expand their practical applicability in non-traditional domains (e.g., molten-salt reactors) through an automation-ready, physics-informed library calibration paradigm.</w:t>
      </w:r>
    </w:p>
    <w:p w14:paraId="18968981" w14:textId="77777777" w:rsidR="008C6AD3" w:rsidRDefault="008C6AD3" w:rsidP="00D319F0"/>
    <w:p w14:paraId="52D1EE58" w14:textId="77777777" w:rsidR="00D319F0" w:rsidRDefault="00D319F0" w:rsidP="00D319F0">
      <w:pPr>
        <w:rPr>
          <w:u w:val="single"/>
        </w:rPr>
      </w:pPr>
      <w:r>
        <w:rPr>
          <w:u w:val="single"/>
        </w:rPr>
        <w:t>Technical Objectives</w:t>
      </w:r>
    </w:p>
    <w:p w14:paraId="5AB17F95" w14:textId="77777777" w:rsidR="00D319F0" w:rsidRDefault="00D319F0" w:rsidP="00D319F0"/>
    <w:p w14:paraId="2F39FF20" w14:textId="77777777" w:rsidR="00356205" w:rsidRDefault="00356205" w:rsidP="00356205">
      <w:r w:rsidRPr="001760C6">
        <w:t xml:space="preserve">The technical objectives of this work are to: (1) develop a general, solver-relevant MG cross-section library tuning framework that accepts a prior library and a case matrix </w:t>
      </w:r>
      <w:r>
        <w:t>with which to generate</w:t>
      </w:r>
      <w:r w:rsidRPr="001760C6">
        <w:t xml:space="preserve"> reference responses and produces a tuned library that minimizes weighted discrepancies in user-selected metrics; (2) implement a unified, configurable parameterization of tunable library degrees of freedom; (3) develop and compare multiple optimization/inference back ends suitable for mixed discrete–continuous tuning problems, including reinforcement-learning-based sequential structural adaptation and Bayesian optimization/evolutionary strategies for continuous parameter updates; (4) </w:t>
      </w:r>
      <w:r w:rsidRPr="002C5F97">
        <w:t>develop explicit physics-consistency and solver-cost constraint modules (guardrails) and interfaces to validate tuned libraries on the target case matrix</w:t>
      </w:r>
      <w:r w:rsidRPr="001760C6">
        <w:t>; and (5) validate practicality and value by adapting an existing LWR-oriented library to representative MSR conditions and quantifying improvements, limits, and transferability across a held-out set of cases and targeted benchmarks.</w:t>
      </w:r>
    </w:p>
    <w:p w14:paraId="66785A42" w14:textId="77777777" w:rsidR="00D319F0" w:rsidRDefault="00D319F0" w:rsidP="00D319F0"/>
    <w:p w14:paraId="322B7BBB" w14:textId="77777777" w:rsidR="00D319F0" w:rsidRPr="003C7E13" w:rsidRDefault="00D319F0" w:rsidP="00D319F0">
      <w:r>
        <w:rPr>
          <w:u w:val="single"/>
        </w:rPr>
        <w:t>Work Plan</w:t>
      </w:r>
    </w:p>
    <w:p w14:paraId="49368209" w14:textId="77777777" w:rsidR="00D319F0" w:rsidRDefault="00D319F0" w:rsidP="00D319F0"/>
    <w:p w14:paraId="4177CBAB" w14:textId="77777777" w:rsidR="00126BBD" w:rsidRPr="004915B2" w:rsidRDefault="00126BBD" w:rsidP="00126BBD">
      <w:pPr>
        <w:pStyle w:val="ListParagraph"/>
        <w:numPr>
          <w:ilvl w:val="0"/>
          <w:numId w:val="9"/>
        </w:numPr>
      </w:pPr>
      <w:r w:rsidRPr="004915B2">
        <w:rPr>
          <w:b/>
          <w:bCs/>
        </w:rPr>
        <w:t>Task 1 — Define case matrix and reference targets:</w:t>
      </w:r>
      <w:r w:rsidRPr="004915B2">
        <w:br/>
      </w:r>
      <w:r>
        <w:t>D</w:t>
      </w:r>
      <w:r w:rsidRPr="004915B2">
        <w:t>efine the tuning/training and hold-out validation case matrices spanning representative LWR and MSR spectral/temperature/composition regimes</w:t>
      </w:r>
      <w:r>
        <w:t xml:space="preserve"> and </w:t>
      </w:r>
      <w:r w:rsidRPr="004915B2">
        <w:t>generate/curate trusted reference responses from high-fidelity calculations and/or validated benchmarks.</w:t>
      </w:r>
    </w:p>
    <w:p w14:paraId="2BCD4194" w14:textId="77777777" w:rsidR="00126BBD" w:rsidRPr="004915B2" w:rsidRDefault="00126BBD" w:rsidP="00126BBD">
      <w:pPr>
        <w:pStyle w:val="ListParagraph"/>
        <w:numPr>
          <w:ilvl w:val="0"/>
          <w:numId w:val="9"/>
        </w:numPr>
      </w:pPr>
      <w:r w:rsidRPr="004915B2">
        <w:rPr>
          <w:b/>
          <w:bCs/>
        </w:rPr>
        <w:t>Task 2 — Develop framework architecture and tunable parameterization:</w:t>
      </w:r>
      <w:r w:rsidRPr="004915B2">
        <w:br/>
      </w:r>
      <w:r>
        <w:t>I</w:t>
      </w:r>
      <w:r w:rsidRPr="004915B2">
        <w:t xml:space="preserve">mplement the core MG cross-section library tuning framework, including a </w:t>
      </w:r>
      <w:r w:rsidRPr="004915B2">
        <w:lastRenderedPageBreak/>
        <w:t>standardized API for: (</w:t>
      </w:r>
      <w:proofErr w:type="spellStart"/>
      <w:r w:rsidRPr="004915B2">
        <w:t>i</w:t>
      </w:r>
      <w:proofErr w:type="spellEnd"/>
      <w:r w:rsidRPr="004915B2">
        <w:t xml:space="preserve">) proposing library updates, (ii) executing case-matrix evaluations in the deterministic workflow, (iii) </w:t>
      </w:r>
      <w:r w:rsidRPr="002C5F97">
        <w:t>computing weighted multi-metric objectives and enforcing physics/solver-cost guardrails.</w:t>
      </w:r>
    </w:p>
    <w:p w14:paraId="7C59982A" w14:textId="77777777" w:rsidR="00126BBD" w:rsidRPr="004915B2" w:rsidRDefault="00126BBD" w:rsidP="00126BBD">
      <w:pPr>
        <w:pStyle w:val="ListParagraph"/>
        <w:numPr>
          <w:ilvl w:val="0"/>
          <w:numId w:val="9"/>
        </w:numPr>
      </w:pPr>
      <w:r w:rsidRPr="004915B2">
        <w:rPr>
          <w:b/>
          <w:bCs/>
        </w:rPr>
        <w:t>Task 3 — Integrate optimization back ends and multi-fidelity acceleration:</w:t>
      </w:r>
      <w:r w:rsidRPr="004915B2">
        <w:br/>
      </w:r>
      <w:r>
        <w:t>Develop</w:t>
      </w:r>
      <w:r w:rsidRPr="004915B2">
        <w:t xml:space="preserve"> a hybrid optimization stack with interchangeable back ends</w:t>
      </w:r>
      <w:r>
        <w:t xml:space="preserve"> supporting both RL-based and Bayesian-based optimization strategies as appropriate.</w:t>
      </w:r>
    </w:p>
    <w:p w14:paraId="142F7574" w14:textId="77777777" w:rsidR="00126BBD" w:rsidRPr="004915B2" w:rsidRDefault="00126BBD" w:rsidP="00126BBD">
      <w:pPr>
        <w:pStyle w:val="ListParagraph"/>
        <w:numPr>
          <w:ilvl w:val="0"/>
          <w:numId w:val="9"/>
        </w:numPr>
      </w:pPr>
      <w:r w:rsidRPr="004915B2">
        <w:rPr>
          <w:b/>
          <w:bCs/>
        </w:rPr>
        <w:t>Task 4 — Demonstrate LWR→MSR library adaptation and quantify impacts:</w:t>
      </w:r>
      <w:r w:rsidRPr="004915B2">
        <w:br/>
      </w:r>
      <w:r w:rsidRPr="00703B67">
        <w:t xml:space="preserve">Starting from an LWR prior library, tune end-to-end for MSR conditions and quantify </w:t>
      </w:r>
      <w:proofErr w:type="spellStart"/>
      <w:r w:rsidRPr="00703B67">
        <w:t>QoI</w:t>
      </w:r>
      <w:proofErr w:type="spellEnd"/>
      <w:r w:rsidRPr="00703B67">
        <w:t xml:space="preserve"> gains while tracking solver cost (memory/runtime proxies)</w:t>
      </w:r>
    </w:p>
    <w:p w14:paraId="7BB98FB8" w14:textId="77777777" w:rsidR="00126BBD" w:rsidRPr="004915B2" w:rsidRDefault="00126BBD" w:rsidP="00126BBD">
      <w:pPr>
        <w:pStyle w:val="ListParagraph"/>
        <w:numPr>
          <w:ilvl w:val="0"/>
          <w:numId w:val="9"/>
        </w:numPr>
      </w:pPr>
      <w:r w:rsidRPr="004915B2">
        <w:rPr>
          <w:b/>
          <w:bCs/>
        </w:rPr>
        <w:t>Task 5 — Validate robustness and package transition artifacts:</w:t>
      </w:r>
      <w:r w:rsidRPr="004915B2">
        <w:br/>
        <w:t>UT will complete hold-out validation and robustness testing</w:t>
      </w:r>
      <w:r>
        <w:t xml:space="preserve">, </w:t>
      </w:r>
      <w:r w:rsidRPr="004915B2">
        <w:t>document recommended configurations and best practices, and deliver reproducible scripts/configuration files.</w:t>
      </w:r>
    </w:p>
    <w:p w14:paraId="4B276996" w14:textId="77777777" w:rsidR="00D319F0" w:rsidRDefault="00D319F0" w:rsidP="00D319F0"/>
    <w:p w14:paraId="284D7300" w14:textId="53858E36" w:rsidR="00D319F0" w:rsidRDefault="00D319F0" w:rsidP="00D319F0">
      <w:r>
        <w:rPr>
          <w:u w:val="single"/>
        </w:rPr>
        <w:t>Estimated Project Cost and Timeframe</w:t>
      </w:r>
    </w:p>
    <w:p w14:paraId="65AC3CFD" w14:textId="77777777" w:rsidR="00C76623" w:rsidRDefault="00C76623" w:rsidP="00C76623">
      <w:r w:rsidRPr="00EE7487">
        <w:t xml:space="preserve">The budget for this project will be $1M over 3 </w:t>
      </w:r>
      <w:r>
        <w:t>years</w:t>
      </w:r>
      <w:r w:rsidRPr="00EE7487">
        <w:t xml:space="preserve">.  A preliminary timeframe to execute the tasks described above </w:t>
      </w:r>
      <w:proofErr w:type="gramStart"/>
      <w:r w:rsidRPr="00EE7487">
        <w:t>is shown</w:t>
      </w:r>
      <w:proofErr w:type="gramEnd"/>
      <w:r w:rsidRPr="00EE7487">
        <w:t xml:space="preserve"> as follow</w:t>
      </w:r>
      <w:r>
        <w:t>s</w:t>
      </w:r>
      <w:r w:rsidRPr="00EE7487">
        <w:t>:</w:t>
      </w:r>
    </w:p>
    <w:p w14:paraId="72631C36" w14:textId="77777777" w:rsidR="00D319F0" w:rsidRDefault="00D319F0" w:rsidP="00D319F0"/>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D319F0" w:rsidRPr="004A2581" w14:paraId="7852C105" w14:textId="77777777">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F3E3F52" w14:textId="77777777" w:rsidR="00D319F0" w:rsidRPr="004A2581" w:rsidRDefault="00D319F0">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21028CB" w14:textId="77777777" w:rsidR="00D319F0" w:rsidRPr="004A2581" w:rsidRDefault="00D319F0">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0F9E52F" w14:textId="77777777" w:rsidR="00D319F0" w:rsidRPr="004A2581" w:rsidRDefault="00D319F0">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3DDA3C94" w14:textId="77777777" w:rsidR="00D319F0" w:rsidRPr="004A2581" w:rsidRDefault="00D319F0">
            <w:r w:rsidRPr="004A2581">
              <w:t>Year 3 </w:t>
            </w:r>
          </w:p>
        </w:tc>
      </w:tr>
      <w:tr w:rsidR="00D319F0" w:rsidRPr="004A2581" w14:paraId="4CFB18F1"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9C3D30E" w14:textId="77777777" w:rsidR="00D319F0" w:rsidRPr="004A2581" w:rsidRDefault="00D319F0"/>
        </w:tc>
        <w:tc>
          <w:tcPr>
            <w:tcW w:w="585" w:type="dxa"/>
            <w:tcBorders>
              <w:top w:val="single" w:sz="6" w:space="0" w:color="auto"/>
              <w:left w:val="single" w:sz="6" w:space="0" w:color="auto"/>
              <w:bottom w:val="single" w:sz="6" w:space="0" w:color="auto"/>
              <w:right w:val="single" w:sz="6" w:space="0" w:color="auto"/>
            </w:tcBorders>
            <w:vAlign w:val="center"/>
            <w:hideMark/>
          </w:tcPr>
          <w:p w14:paraId="08848BD8" w14:textId="77777777" w:rsidR="00D319F0" w:rsidRPr="004A2581" w:rsidRDefault="00D319F0">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FF58315" w14:textId="77777777" w:rsidR="00D319F0" w:rsidRPr="004A2581" w:rsidRDefault="00D319F0">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8B29D82" w14:textId="77777777" w:rsidR="00D319F0" w:rsidRPr="004A2581" w:rsidRDefault="00D319F0">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7517F1C" w14:textId="77777777" w:rsidR="00D319F0" w:rsidRPr="004A2581" w:rsidRDefault="00D319F0">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C862AD0" w14:textId="77777777" w:rsidR="00D319F0" w:rsidRPr="004A2581" w:rsidRDefault="00D319F0">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2255F01" w14:textId="77777777" w:rsidR="00D319F0" w:rsidRPr="004A2581" w:rsidRDefault="00D319F0">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EBA8381" w14:textId="77777777" w:rsidR="00D319F0" w:rsidRPr="004A2581" w:rsidRDefault="00D319F0">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453B30C" w14:textId="77777777" w:rsidR="00D319F0" w:rsidRPr="004A2581" w:rsidRDefault="00D319F0">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A089C43" w14:textId="77777777" w:rsidR="00D319F0" w:rsidRPr="004A2581" w:rsidRDefault="00D319F0">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75FAC6E" w14:textId="77777777" w:rsidR="00D319F0" w:rsidRPr="004A2581" w:rsidRDefault="00D319F0">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66B5A0" w14:textId="77777777" w:rsidR="00D319F0" w:rsidRPr="004A2581" w:rsidRDefault="00D319F0">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B52A7C6" w14:textId="77777777" w:rsidR="00D319F0" w:rsidRPr="004A2581" w:rsidRDefault="00D319F0">
            <w:r w:rsidRPr="004A2581">
              <w:t>Q4 </w:t>
            </w:r>
          </w:p>
        </w:tc>
      </w:tr>
      <w:tr w:rsidR="00D319F0" w:rsidRPr="004A2581" w14:paraId="6633F46A" w14:textId="77777777" w:rsidTr="004915B2">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57F8B05D" w14:textId="77777777" w:rsidR="00D319F0" w:rsidRPr="004A2581" w:rsidRDefault="00D319F0">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A92BF51"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C276F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15ADB5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59D6AE0"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19FE2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737CB6C"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283E358"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8B5A37F"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B4E3AFE"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33A05DB"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3FF6578"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7E48E4E" w14:textId="77777777" w:rsidR="00D319F0" w:rsidRPr="004A2581" w:rsidRDefault="00D319F0">
            <w:r w:rsidRPr="004A2581">
              <w:t> </w:t>
            </w:r>
          </w:p>
        </w:tc>
      </w:tr>
      <w:tr w:rsidR="00D319F0" w:rsidRPr="004A2581" w14:paraId="29A99F6A" w14:textId="77777777" w:rsidTr="004915B2">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72347B8B" w14:textId="77777777" w:rsidR="00D319F0" w:rsidRPr="004A2581" w:rsidRDefault="00D319F0">
            <w:r w:rsidRPr="004A2581">
              <w:t>2 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74790F"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9550E24"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F0C3ED0"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3D29331"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065B2A4"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883105F"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71801B4"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F060D2A"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633D5A1"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D97655E"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418A5DB"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09FB32E" w14:textId="77777777" w:rsidR="00D319F0" w:rsidRPr="004A2581" w:rsidRDefault="00D319F0">
            <w:r w:rsidRPr="004A2581">
              <w:t> </w:t>
            </w:r>
          </w:p>
        </w:tc>
      </w:tr>
      <w:tr w:rsidR="00D319F0" w:rsidRPr="004A2581" w14:paraId="1E039B71" w14:textId="77777777" w:rsidTr="004915B2">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B5565B8" w14:textId="77777777" w:rsidR="00D319F0" w:rsidRPr="004A2581" w:rsidRDefault="00D319F0">
            <w:r w:rsidRPr="004A2581">
              <w:t>3 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62C373C"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94FC82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4BE1AFD"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C1E5D29"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3E8D478"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62BF2FC"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F157CE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66544BF"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60B07E9"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03B5C2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4AE3DC"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41468C2" w14:textId="77777777" w:rsidR="00D319F0" w:rsidRPr="004A2581" w:rsidRDefault="00D319F0">
            <w:r w:rsidRPr="004A2581">
              <w:t> </w:t>
            </w:r>
          </w:p>
        </w:tc>
      </w:tr>
      <w:tr w:rsidR="00D319F0" w:rsidRPr="004A2581" w14:paraId="2CFD6DC8" w14:textId="77777777" w:rsidTr="004915B2">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B6F040A" w14:textId="77777777" w:rsidR="00D319F0" w:rsidRPr="004A2581" w:rsidRDefault="00D319F0">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FA99C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4EA05DC"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0EFCD52"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AA49B22"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7E020BF"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C551E79"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87ECEB0"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3CC21C3"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937F7EE"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32F20E2"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20D332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F7029B9" w14:textId="77777777" w:rsidR="00D319F0" w:rsidRPr="004A2581" w:rsidRDefault="00D319F0">
            <w:r w:rsidRPr="004A2581">
              <w:t> </w:t>
            </w:r>
          </w:p>
        </w:tc>
      </w:tr>
      <w:tr w:rsidR="00D319F0" w:rsidRPr="004A2581" w14:paraId="4B6ABF73" w14:textId="77777777" w:rsidTr="004915B2">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116967C1" w14:textId="77777777" w:rsidR="00D319F0" w:rsidRPr="004A2581" w:rsidRDefault="00D319F0">
            <w:r w:rsidRPr="004A2581">
              <w:t>5 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BDFF4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AF7080D"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1FCE2F1"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D9B1A1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2446C14"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5F2E393"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21173F7"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29AA458"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19FA719"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4DA4FD6"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63591D9" w14:textId="77777777" w:rsidR="00D319F0" w:rsidRPr="004A2581" w:rsidRDefault="00D319F0">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028E1C9" w14:textId="77777777" w:rsidR="00D319F0" w:rsidRPr="004A2581" w:rsidRDefault="00D319F0">
            <w:r w:rsidRPr="004A2581">
              <w:t> </w:t>
            </w:r>
          </w:p>
        </w:tc>
      </w:tr>
    </w:tbl>
    <w:p w14:paraId="593F7A0A" w14:textId="77777777" w:rsidR="00D319F0" w:rsidRDefault="00D319F0" w:rsidP="00D319F0"/>
    <w:p w14:paraId="7C9006A4" w14:textId="77777777" w:rsidR="00126BBD" w:rsidRDefault="00126BBD" w:rsidP="00126BBD">
      <w:r>
        <w:rPr>
          <w:u w:val="single"/>
        </w:rPr>
        <w:t>Artificial Intelligence Use Disclosure and Disclaimer</w:t>
      </w:r>
    </w:p>
    <w:p w14:paraId="3C5BB4E5" w14:textId="77777777" w:rsidR="00126BBD" w:rsidRPr="00042D92" w:rsidRDefault="00126BBD" w:rsidP="00126BBD">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0543C544" w14:textId="77777777" w:rsidR="00126BBD" w:rsidRDefault="00126BBD" w:rsidP="00D319F0"/>
    <w:p w14:paraId="07D2C2DB" w14:textId="77777777" w:rsidR="00D319F0" w:rsidRDefault="00D319F0" w:rsidP="00D319F0">
      <w:r>
        <w:rPr>
          <w:u w:val="single"/>
        </w:rPr>
        <w:t>References:</w:t>
      </w:r>
    </w:p>
    <w:p w14:paraId="20C60AA8" w14:textId="77777777" w:rsidR="00FB190F" w:rsidRDefault="00FB190F" w:rsidP="00FB190F">
      <w:pPr>
        <w:pStyle w:val="ListParagraph"/>
        <w:numPr>
          <w:ilvl w:val="0"/>
          <w:numId w:val="5"/>
        </w:numPr>
        <w:rPr>
          <w:rFonts w:cstheme="minorHAnsi"/>
        </w:rPr>
      </w:pPr>
      <w:bookmarkStart w:id="0" w:name="_Ref220062653"/>
      <w:r>
        <w:rPr>
          <w:rFonts w:cstheme="minorHAnsi"/>
        </w:rPr>
        <w:t>Y. Wang, et al. “</w:t>
      </w:r>
      <w:r w:rsidRPr="00380C68">
        <w:rPr>
          <w:rFonts w:cstheme="minorHAnsi"/>
        </w:rPr>
        <w:t xml:space="preserve">Griffin: A MOOSE-based reactor physics application for </w:t>
      </w:r>
      <w:proofErr w:type="spellStart"/>
      <w:r w:rsidRPr="00380C68">
        <w:rPr>
          <w:rFonts w:cstheme="minorHAnsi"/>
        </w:rPr>
        <w:t>multiphysics</w:t>
      </w:r>
      <w:proofErr w:type="spellEnd"/>
      <w:r w:rsidRPr="00380C68">
        <w:rPr>
          <w:rFonts w:cstheme="minorHAnsi"/>
        </w:rPr>
        <w:t xml:space="preserve"> simulation of advanced nuclear reactors</w:t>
      </w:r>
      <w:r>
        <w:rPr>
          <w:rFonts w:cstheme="minorHAnsi"/>
        </w:rPr>
        <w:t xml:space="preserve">”, Annals of Nuclear Energy, </w:t>
      </w:r>
      <w:r>
        <w:rPr>
          <w:rFonts w:cstheme="minorHAnsi"/>
          <w:b/>
          <w:bCs/>
        </w:rPr>
        <w:t>211</w:t>
      </w:r>
      <w:r>
        <w:rPr>
          <w:rFonts w:cstheme="minorHAnsi"/>
        </w:rPr>
        <w:t>, 2025</w:t>
      </w:r>
      <w:bookmarkEnd w:id="0"/>
    </w:p>
    <w:p w14:paraId="68939FAC" w14:textId="77777777" w:rsidR="00FB190F" w:rsidRDefault="00FB190F" w:rsidP="00FB190F">
      <w:pPr>
        <w:pStyle w:val="ListParagraph"/>
        <w:numPr>
          <w:ilvl w:val="0"/>
          <w:numId w:val="5"/>
        </w:numPr>
        <w:rPr>
          <w:rFonts w:cstheme="minorHAnsi"/>
        </w:rPr>
      </w:pPr>
      <w:bookmarkStart w:id="1" w:name="_Ref220062677"/>
      <w:r w:rsidRPr="00B65EDA">
        <w:rPr>
          <w:rFonts w:cstheme="minorHAnsi"/>
        </w:rPr>
        <w:t xml:space="preserve">W. A. </w:t>
      </w:r>
      <w:proofErr w:type="spellStart"/>
      <w:r w:rsidRPr="00B65EDA">
        <w:rPr>
          <w:rFonts w:cstheme="minorHAnsi"/>
        </w:rPr>
        <w:t>Wieselquist</w:t>
      </w:r>
      <w:proofErr w:type="spellEnd"/>
      <w:r w:rsidRPr="00B65EDA">
        <w:rPr>
          <w:rFonts w:cstheme="minorHAnsi"/>
        </w:rPr>
        <w:t>, R. A. Lefebvre, and Eds. “SCALE 6.3.2 User Manual.” Technical Report ORNL/TM-2024/3386, Oak Ridge National Laboratory (2024).</w:t>
      </w:r>
      <w:bookmarkEnd w:id="1"/>
    </w:p>
    <w:p w14:paraId="796E3F46" w14:textId="77777777" w:rsidR="00356205" w:rsidRDefault="00356205" w:rsidP="00356205">
      <w:pPr>
        <w:pStyle w:val="ListParagraph"/>
        <w:numPr>
          <w:ilvl w:val="0"/>
          <w:numId w:val="5"/>
        </w:numPr>
        <w:rPr>
          <w:rFonts w:cstheme="minorHAnsi"/>
        </w:rPr>
      </w:pPr>
      <w:bookmarkStart w:id="2" w:name="_Ref219978547"/>
      <w:r w:rsidRPr="00BE27E2">
        <w:rPr>
          <w:rFonts w:cstheme="minorHAnsi"/>
        </w:rPr>
        <w:t xml:space="preserve">Kim, K.-S., </w:t>
      </w:r>
      <w:r>
        <w:rPr>
          <w:rFonts w:cstheme="minorHAnsi"/>
        </w:rPr>
        <w:t>et al</w:t>
      </w:r>
      <w:r w:rsidRPr="00BE27E2">
        <w:rPr>
          <w:rFonts w:cstheme="minorHAnsi"/>
        </w:rPr>
        <w:t>., “Automatic Coarse Energy Group Structure Optimization by Minimizing Reaction Rate Differences for the SCALE and CASL Code Systems,” M&amp;C 2017, Jeju Island, South Korea, April 16–20, 2017.</w:t>
      </w:r>
      <w:bookmarkEnd w:id="2"/>
    </w:p>
    <w:p w14:paraId="157E5792" w14:textId="77777777" w:rsidR="00356205" w:rsidRDefault="00356205" w:rsidP="00356205">
      <w:pPr>
        <w:pStyle w:val="ListParagraph"/>
        <w:numPr>
          <w:ilvl w:val="0"/>
          <w:numId w:val="5"/>
        </w:numPr>
        <w:rPr>
          <w:rFonts w:cstheme="minorHAnsi"/>
        </w:rPr>
      </w:pPr>
      <w:bookmarkStart w:id="3" w:name="_Ref219978713"/>
      <w:r w:rsidRPr="008F0F8A">
        <w:rPr>
          <w:rFonts w:cstheme="minorHAnsi"/>
        </w:rPr>
        <w:t>Massone, M., Gabrielli, F., and Rineiski, A., “SIMMER extension for multigroup energy structure search using genetic algorithm with different fitness functions,” Nuclear Engineering and Technology, 49(6), 1250–1258 (2017).</w:t>
      </w:r>
      <w:bookmarkEnd w:id="3"/>
    </w:p>
    <w:p w14:paraId="4B9F7F13" w14:textId="7CFC5EAC" w:rsidR="00216274" w:rsidRDefault="00F40C7A" w:rsidP="00C014BD">
      <w:r>
        <w:rPr>
          <w:b/>
          <w:bCs/>
          <w:u w:val="single"/>
        </w:rPr>
        <w:lastRenderedPageBreak/>
        <w:t>I</w:t>
      </w:r>
      <w:r w:rsidR="00BF2CB3">
        <w:rPr>
          <w:b/>
          <w:bCs/>
          <w:u w:val="single"/>
        </w:rPr>
        <w:t>NL Collaboration</w:t>
      </w:r>
    </w:p>
    <w:p w14:paraId="3A2F3031" w14:textId="77777777" w:rsidR="00BF2CB3" w:rsidRDefault="00BF2CB3" w:rsidP="00C014BD"/>
    <w:p w14:paraId="05E77AB3" w14:textId="64F38938" w:rsidR="00C35DF9" w:rsidRDefault="009711EA" w:rsidP="00C35DF9">
      <w:r>
        <w:t>I</w:t>
      </w:r>
      <w:r w:rsidR="00C35DF9">
        <w:t xml:space="preserve">NL brings unique and essential capabilities to this effort through its long-standing leadership in multigroup deterministic reactor analysis and cross-section processing, including development, maintenance, and community support for production toolchains such as </w:t>
      </w:r>
      <w:r>
        <w:t>Griffin</w:t>
      </w:r>
      <w:r w:rsidR="00C35DF9">
        <w:t xml:space="preserve">. Because the proposed work targets the formulation and calibration of MG library infrastructure that must ultimately be defensible, stable, and solver-usable, </w:t>
      </w:r>
      <w:r>
        <w:t>I</w:t>
      </w:r>
      <w:r w:rsidR="00C35DF9">
        <w:t>NL’s domain expertise is critical to ensuring that the tuning degrees of freedom, constraints, and validation expectations reflect real-world requirements and accepted best practices.</w:t>
      </w:r>
    </w:p>
    <w:p w14:paraId="1C5AD55C" w14:textId="77777777" w:rsidR="00C35DF9" w:rsidRDefault="00C35DF9" w:rsidP="00C35DF9"/>
    <w:p w14:paraId="63B7E3F7" w14:textId="1F04CA3A" w:rsidR="00C35DF9" w:rsidRDefault="009711EA" w:rsidP="00C35DF9">
      <w:r>
        <w:t>I</w:t>
      </w:r>
      <w:r w:rsidR="00C35DF9">
        <w:t>NL’s primary contributions will be threefold:</w:t>
      </w:r>
    </w:p>
    <w:p w14:paraId="20B167C1" w14:textId="77777777" w:rsidR="00C35DF9" w:rsidRDefault="00C35DF9" w:rsidP="00C35DF9"/>
    <w:p w14:paraId="50E6159A" w14:textId="09F5D5C8" w:rsidR="00C35DF9" w:rsidRDefault="00C35DF9" w:rsidP="00C35DF9">
      <w:pPr>
        <w:pStyle w:val="ListParagraph"/>
        <w:numPr>
          <w:ilvl w:val="0"/>
          <w:numId w:val="10"/>
        </w:numPr>
      </w:pPr>
      <w:r w:rsidRPr="00C35DF9">
        <w:rPr>
          <w:b/>
          <w:bCs/>
        </w:rPr>
        <w:t>Technical Oversight and Domain Guidance.</w:t>
      </w:r>
      <w:r>
        <w:t xml:space="preserve"> </w:t>
      </w:r>
      <w:r w:rsidR="009711EA">
        <w:t>I</w:t>
      </w:r>
      <w:r>
        <w:t>NL will provide independent technical review of the proposed tuning parameterizations, including resonance/self-shielding hyperparameters (e.g., background cross-section grids</w:t>
      </w:r>
      <w:r w:rsidR="009711EA">
        <w:t xml:space="preserve"> and other </w:t>
      </w:r>
      <w:r>
        <w:t xml:space="preserve">design choices) and solver-driven constraints (group/subgroup resolution, memory/runtime considerations). </w:t>
      </w:r>
      <w:r w:rsidR="009711EA">
        <w:t>I</w:t>
      </w:r>
      <w:r>
        <w:t>NL will help ensure that optimization degrees of freedom remain physically defensible, interpretable, and aligned with established cross-section processing practice.</w:t>
      </w:r>
    </w:p>
    <w:p w14:paraId="25D7A185" w14:textId="77777777" w:rsidR="00C35DF9" w:rsidRDefault="00C35DF9" w:rsidP="00C35DF9"/>
    <w:p w14:paraId="5C5C265C" w14:textId="4AD79284" w:rsidR="00C35DF9" w:rsidRDefault="00C35DF9" w:rsidP="00C35DF9">
      <w:pPr>
        <w:pStyle w:val="ListParagraph"/>
        <w:numPr>
          <w:ilvl w:val="0"/>
          <w:numId w:val="10"/>
        </w:numPr>
      </w:pPr>
      <w:r w:rsidRPr="00C35DF9">
        <w:rPr>
          <w:b/>
          <w:bCs/>
        </w:rPr>
        <w:t>Benchmarking and Evaluation Rigor.</w:t>
      </w:r>
      <w:r>
        <w:t xml:space="preserve"> </w:t>
      </w:r>
      <w:r w:rsidR="009711EA">
        <w:t>I</w:t>
      </w:r>
      <w:r>
        <w:t xml:space="preserve">NL will advise on the selection and construction of representative LWR and MSR-relevant case matrices and on the definition of metrics that reflect how MG data are used in production (e.g., eigenvalue, integral and isotope-specific reaction rates, and selected feedback quantities), including expectations for robustness and generalization. </w:t>
      </w:r>
      <w:r w:rsidR="009711EA">
        <w:t>I</w:t>
      </w:r>
      <w:r>
        <w:t>NL will also guide fair comparisons against existing baseline approaches and library configurations, ensuring results are credible to the deterministic methods community.</w:t>
      </w:r>
    </w:p>
    <w:p w14:paraId="5638765B" w14:textId="77777777" w:rsidR="00C35DF9" w:rsidRDefault="00C35DF9" w:rsidP="00C35DF9"/>
    <w:p w14:paraId="4572EC12" w14:textId="37EF6906" w:rsidR="004915B2" w:rsidRDefault="00C35DF9" w:rsidP="00C35DF9">
      <w:pPr>
        <w:pStyle w:val="ListParagraph"/>
        <w:numPr>
          <w:ilvl w:val="0"/>
          <w:numId w:val="10"/>
        </w:numPr>
      </w:pPr>
      <w:r w:rsidRPr="00C35DF9">
        <w:rPr>
          <w:b/>
          <w:bCs/>
        </w:rPr>
        <w:t xml:space="preserve">Technology Transition Pathway into </w:t>
      </w:r>
      <w:r w:rsidR="009711EA">
        <w:rPr>
          <w:b/>
          <w:bCs/>
        </w:rPr>
        <w:t>Griffin</w:t>
      </w:r>
      <w:r w:rsidRPr="00C35DF9">
        <w:rPr>
          <w:b/>
          <w:bCs/>
        </w:rPr>
        <w:t xml:space="preserve"> Workflows.</w:t>
      </w:r>
      <w:r>
        <w:t xml:space="preserve"> A core benefit of </w:t>
      </w:r>
      <w:r w:rsidR="009711EA">
        <w:t>I</w:t>
      </w:r>
      <w:r>
        <w:t xml:space="preserve">NL participation is the presence of a realistic transition path beyond a stand-alone research prototype. </w:t>
      </w:r>
      <w:r w:rsidR="009711EA">
        <w:t>I</w:t>
      </w:r>
      <w:r>
        <w:t xml:space="preserve">NL will identify candidate insertion points and workflow patterns for engaging the tuning framework with established library generation and regression-testing </w:t>
      </w:r>
      <w:proofErr w:type="gramStart"/>
      <w:r>
        <w:t>practices, and</w:t>
      </w:r>
      <w:proofErr w:type="gramEnd"/>
      <w:r>
        <w:t xml:space="preserve"> will help translate project outcomes into adoption-relevant artifacts (e.g., recommended regression case sets, integration concepts, and best-practices guidance). This will maximize the likelihood that successful methods can be sustained and used by the broader community.</w:t>
      </w:r>
    </w:p>
    <w:p w14:paraId="33C0EEBD" w14:textId="77777777" w:rsidR="004915B2" w:rsidRDefault="004915B2" w:rsidP="00C014BD"/>
    <w:p w14:paraId="430FF836" w14:textId="77777777" w:rsidR="004915B2" w:rsidRDefault="004915B2" w:rsidP="00C014BD"/>
    <w:p w14:paraId="7FE5F798" w14:textId="4E16C2D9" w:rsidR="00BF2CB3" w:rsidRDefault="00F40C7A" w:rsidP="00C014BD">
      <w:pPr>
        <w:rPr>
          <w:u w:val="single"/>
        </w:rPr>
      </w:pPr>
      <w:r>
        <w:rPr>
          <w:b/>
          <w:bCs/>
        </w:rPr>
        <w:t>Yanqi Wang</w:t>
      </w:r>
      <w:r w:rsidR="00BF2CB3">
        <w:rPr>
          <w:b/>
          <w:bCs/>
        </w:rPr>
        <w:t>:</w:t>
      </w:r>
    </w:p>
    <w:p w14:paraId="437BF225" w14:textId="77777777" w:rsidR="00BF2CB3" w:rsidRDefault="00BF2CB3" w:rsidP="00C014BD">
      <w:pPr>
        <w:rPr>
          <w:u w:val="single"/>
        </w:rPr>
      </w:pPr>
    </w:p>
    <w:p w14:paraId="35614D21" w14:textId="37451834" w:rsidR="00432AF8" w:rsidRDefault="00432AF8">
      <w:pPr>
        <w:rPr>
          <w:u w:val="single"/>
        </w:rPr>
      </w:pPr>
      <w:r>
        <w:rPr>
          <w:u w:val="single"/>
        </w:rPr>
        <w:br w:type="page"/>
      </w:r>
    </w:p>
    <w:p w14:paraId="70BE60A0" w14:textId="77777777" w:rsidR="004915B2" w:rsidRDefault="004915B2" w:rsidP="00C014BD">
      <w:pPr>
        <w:rPr>
          <w:u w:val="single"/>
        </w:rPr>
      </w:pPr>
    </w:p>
    <w:p w14:paraId="3782F18B" w14:textId="17A3BB98" w:rsidR="00BF2CB3" w:rsidRDefault="00BF2CB3" w:rsidP="00C014BD">
      <w:pPr>
        <w:rPr>
          <w:b/>
          <w:bCs/>
        </w:rPr>
      </w:pPr>
      <w:r>
        <w:rPr>
          <w:b/>
          <w:bCs/>
          <w:u w:val="single"/>
        </w:rPr>
        <w:t>University of Texas</w:t>
      </w:r>
    </w:p>
    <w:p w14:paraId="71D3DB3E" w14:textId="4EC819AF" w:rsidR="00C35DF9" w:rsidRPr="00C35DF9" w:rsidRDefault="00C35DF9" w:rsidP="00C35DF9">
      <w:r w:rsidRPr="00C35DF9">
        <w:t xml:space="preserve">UT Austin will lead the project’s technical execution and framework development, leveraging strengths in computational neutronics, reactor-physics-informed machine learning, and digital-twin/surrogate-modeling workflows. UT will be responsible for the primary R&amp;D, including formulation and implementation of the ML-guided library tuning framework, construction of the LWR→MSR case matrices and reference datasets, and demonstration of tuned-library performance improvements in </w:t>
      </w:r>
      <w:r w:rsidR="002642D3">
        <w:t>Griffin</w:t>
      </w:r>
      <w:r w:rsidRPr="00C35DF9">
        <w:t>-class deterministic analyses. UT will also leverage high-performance computing resources at the Texas Advanced Computing Center (TACC) to enable computationally intensive case-matrix evaluations and multi-fidelity optimization.</w:t>
      </w:r>
    </w:p>
    <w:p w14:paraId="678ECA10" w14:textId="77777777" w:rsidR="00C35DF9" w:rsidRDefault="00C35DF9" w:rsidP="00C35DF9">
      <w:r w:rsidRPr="00C35DF9">
        <w:t>UT Austin’s primary contributions include:</w:t>
      </w:r>
    </w:p>
    <w:p w14:paraId="0F321655" w14:textId="77777777" w:rsidR="00C35DF9" w:rsidRPr="00C35DF9" w:rsidRDefault="00C35DF9" w:rsidP="00C35DF9"/>
    <w:p w14:paraId="6BEAC16B" w14:textId="77777777" w:rsidR="00C35DF9" w:rsidRDefault="00C35DF9" w:rsidP="00C35DF9">
      <w:pPr>
        <w:numPr>
          <w:ilvl w:val="0"/>
          <w:numId w:val="12"/>
        </w:numPr>
      </w:pPr>
      <w:r w:rsidRPr="00C35DF9">
        <w:rPr>
          <w:b/>
          <w:bCs/>
        </w:rPr>
        <w:t>Primary R&amp;D and Framework Development.</w:t>
      </w:r>
      <w:r w:rsidRPr="00C35DF9">
        <w:t xml:space="preserve"> UT will design and implement the configurable MG library tuning framework, including standardized APIs for library modification, case evaluation, objective/constraint computation, and reproducibility. UT will implement tunable degrees of freedom spanning energy group structure adaptation, resonance/self-shielding hyperparameters, subgroup/probability-table settings (where applicable), equivalence/weighting-spectrum knobs, and an optional constrained residual correction layer for post-structure refinement.</w:t>
      </w:r>
    </w:p>
    <w:p w14:paraId="1043BFCC" w14:textId="77777777" w:rsidR="00C35DF9" w:rsidRPr="00C35DF9" w:rsidRDefault="00C35DF9" w:rsidP="00C35DF9">
      <w:pPr>
        <w:ind w:left="720"/>
      </w:pPr>
    </w:p>
    <w:p w14:paraId="280B1E82" w14:textId="77777777" w:rsidR="00C35DF9" w:rsidRDefault="00C35DF9" w:rsidP="00C35DF9">
      <w:pPr>
        <w:numPr>
          <w:ilvl w:val="0"/>
          <w:numId w:val="12"/>
        </w:numPr>
      </w:pPr>
      <w:r w:rsidRPr="00C35DF9">
        <w:rPr>
          <w:b/>
          <w:bCs/>
        </w:rPr>
        <w:t>Optimization Methods and Multi-Fidelity Acceleration.</w:t>
      </w:r>
      <w:r w:rsidRPr="00C35DF9">
        <w:t xml:space="preserve"> UT will develop and benchmark the hybrid optimization stack, including reinforcement-learning-based sequential structural adaptation and Bayesian optimization/evolutionary strategies for continuous tuning. UT will implement staged evaluation and surrogate assistance where appropriate to improve sample efficiency and reduce computational cost, using TACC to support the required throughput for screening, confirmation, and robustness testing.</w:t>
      </w:r>
    </w:p>
    <w:p w14:paraId="322A7EB2" w14:textId="77777777" w:rsidR="00C35DF9" w:rsidRPr="00C35DF9" w:rsidRDefault="00C35DF9" w:rsidP="00C35DF9"/>
    <w:p w14:paraId="4D9E25C9" w14:textId="1BA8B831" w:rsidR="00C35DF9" w:rsidRPr="00C35DF9" w:rsidRDefault="00C35DF9" w:rsidP="00C35DF9">
      <w:pPr>
        <w:numPr>
          <w:ilvl w:val="0"/>
          <w:numId w:val="12"/>
        </w:numPr>
      </w:pPr>
      <w:r w:rsidRPr="00C35DF9">
        <w:rPr>
          <w:b/>
          <w:bCs/>
        </w:rPr>
        <w:t>Case Matrix Construction, Demonstration, and Validation.</w:t>
      </w:r>
      <w:r w:rsidRPr="00C35DF9">
        <w:t xml:space="preserve"> UT will build the LWR and MSR-relevant case matrices, generate/curate trusted reference responses, and execute end-to-end demonstrations adapting an LWR-oriented prior library to MSR conditions. UT will quantify improvements and tradeoffs across weighted metrics, perform studies to attribute gains to specific tuning components, and conduct hold-out and off-nominal robustness tests to assess generalization.</w:t>
      </w:r>
    </w:p>
    <w:p w14:paraId="586E4EA8" w14:textId="77777777" w:rsidR="00BF2CB3" w:rsidRDefault="00BF2CB3" w:rsidP="00C014BD">
      <w:pPr>
        <w:rPr>
          <w:b/>
          <w:bCs/>
        </w:rPr>
      </w:pPr>
    </w:p>
    <w:p w14:paraId="2EF0D338" w14:textId="5CBE88DE" w:rsidR="00BF2CB3" w:rsidRDefault="00BF2CB3" w:rsidP="00C014BD">
      <w:r>
        <w:rPr>
          <w:b/>
          <w:bCs/>
        </w:rPr>
        <w:t>Cole Gentry:</w:t>
      </w:r>
    </w:p>
    <w:p w14:paraId="480D32CE" w14:textId="77777777" w:rsidR="00BF2CB3" w:rsidRDefault="00BF2CB3" w:rsidP="00C014BD"/>
    <w:p w14:paraId="7C969256" w14:textId="77777777" w:rsidR="00C35DF9" w:rsidRDefault="00C35DF9" w:rsidP="00C35DF9">
      <w:pPr>
        <w:rPr>
          <w:rFonts w:cstheme="minorHAnsi"/>
        </w:rPr>
      </w:pPr>
      <w:r w:rsidRPr="00A04787">
        <w:rPr>
          <w:rFonts w:cstheme="minorHAnsi"/>
        </w:rPr>
        <w:t>Dr. Cole A. Gentry is Senior Engineering Scientist at the University of Texas at Austin, specializing in the study of Nuclear Reactor Digital Twins and Machine-Learning-based Reduced Order Modeling.</w:t>
      </w:r>
      <w:r w:rsidRPr="00A04787">
        <w:rPr>
          <w:rFonts w:cstheme="minorHAnsi"/>
        </w:rPr>
        <w:br/>
      </w:r>
      <w:r w:rsidRPr="00A04787">
        <w:rPr>
          <w:rFonts w:cstheme="minorHAnsi"/>
        </w:rPr>
        <w:br/>
        <w:t xml:space="preserve">Prior to this position, Dr. Gentry worked as a contract Software Development Engineer for Zachry Nuclear's Numerical Advisory Solutions Group and as a Computational Nuclear Engineer both at BWX Technologies, Inc. and Oak Ridge National Laboratory. At BWXT, Dr. Gentry worked primarily on reactor analysis tools development and code qualification for the various </w:t>
      </w:r>
      <w:r w:rsidRPr="00A04787">
        <w:rPr>
          <w:rFonts w:cstheme="minorHAnsi"/>
        </w:rPr>
        <w:lastRenderedPageBreak/>
        <w:t>BWXT HTGR designs. At Oak Ridge National Laboratory, Dr. Gentry focused primarily on the development and testing of Light Water Reactor (LWR) and advanced reactor simulation capabilities in both the CASL core simulator VERA and the SCALE lattice physics code POLARIS. Dr. Gentry also led a development effort in applying neural networks to reactor simulations.</w:t>
      </w:r>
      <w:r w:rsidRPr="00A04787">
        <w:rPr>
          <w:rFonts w:cstheme="minorHAnsi"/>
        </w:rPr>
        <w:br/>
      </w:r>
      <w:r w:rsidRPr="00A04787">
        <w:rPr>
          <w:rFonts w:cstheme="minorHAnsi"/>
        </w:rPr>
        <w:br/>
        <w:t>Dr. Gentry graduated from the University of Tennessee with a B.S. in Nuclear Engineering and worked as a Reactor Engineer at the Sequoyah Nuclear Facility for two years before returning to the University of Tennessee to earn his M.S. and Ph.D. in Nuclear Engineering. His graduate work consisted of analysis of Fully Ceramic Micro-Encapsulated (FCM) Light Water Reactor (LWR) fuel for deep burnup applications, as well as adaptation of the traditional LWR Two-Step procedure to a plate fueled Advanced High Temperature Reactor (AHTR).</w:t>
      </w:r>
    </w:p>
    <w:p w14:paraId="16459105" w14:textId="77777777" w:rsidR="00BF2CB3" w:rsidRPr="00BF2CB3" w:rsidRDefault="00BF2CB3" w:rsidP="00C014BD"/>
    <w:sectPr w:rsidR="00BF2CB3" w:rsidRPr="00BF2CB3"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D74"/>
    <w:multiLevelType w:val="hybridMultilevel"/>
    <w:tmpl w:val="51C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07E46"/>
    <w:multiLevelType w:val="hybridMultilevel"/>
    <w:tmpl w:val="80AEF03E"/>
    <w:lvl w:ilvl="0" w:tplc="548E2A12">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C1B2C"/>
    <w:multiLevelType w:val="multilevel"/>
    <w:tmpl w:val="2D64A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73868"/>
    <w:multiLevelType w:val="hybridMultilevel"/>
    <w:tmpl w:val="E74A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F44FF9"/>
    <w:multiLevelType w:val="hybridMultilevel"/>
    <w:tmpl w:val="0ABE7226"/>
    <w:lvl w:ilvl="0" w:tplc="DD3CCC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715D6"/>
    <w:multiLevelType w:val="multilevel"/>
    <w:tmpl w:val="CEBA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7B1B93"/>
    <w:multiLevelType w:val="hybridMultilevel"/>
    <w:tmpl w:val="CD420284"/>
    <w:lvl w:ilvl="0" w:tplc="04B4C19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23FDD"/>
    <w:multiLevelType w:val="hybridMultilevel"/>
    <w:tmpl w:val="9888027A"/>
    <w:lvl w:ilvl="0" w:tplc="DF46FB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A30EF0"/>
    <w:multiLevelType w:val="hybridMultilevel"/>
    <w:tmpl w:val="8690B522"/>
    <w:lvl w:ilvl="0" w:tplc="98D6DC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31052"/>
    <w:multiLevelType w:val="hybridMultilevel"/>
    <w:tmpl w:val="FE2C9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7425C"/>
    <w:multiLevelType w:val="hybridMultilevel"/>
    <w:tmpl w:val="7124CEA8"/>
    <w:lvl w:ilvl="0" w:tplc="05B0822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514724">
    <w:abstractNumId w:val="1"/>
  </w:num>
  <w:num w:numId="2" w16cid:durableId="418019011">
    <w:abstractNumId w:val="5"/>
  </w:num>
  <w:num w:numId="3" w16cid:durableId="1858929656">
    <w:abstractNumId w:val="7"/>
  </w:num>
  <w:num w:numId="4" w16cid:durableId="232859753">
    <w:abstractNumId w:val="10"/>
  </w:num>
  <w:num w:numId="5" w16cid:durableId="858351815">
    <w:abstractNumId w:val="3"/>
  </w:num>
  <w:num w:numId="6" w16cid:durableId="2042044958">
    <w:abstractNumId w:val="11"/>
  </w:num>
  <w:num w:numId="7" w16cid:durableId="1527982678">
    <w:abstractNumId w:val="4"/>
  </w:num>
  <w:num w:numId="8" w16cid:durableId="158933532">
    <w:abstractNumId w:val="8"/>
  </w:num>
  <w:num w:numId="9" w16cid:durableId="260840809">
    <w:abstractNumId w:val="6"/>
  </w:num>
  <w:num w:numId="10" w16cid:durableId="121195332">
    <w:abstractNumId w:val="0"/>
  </w:num>
  <w:num w:numId="11" w16cid:durableId="2138719082">
    <w:abstractNumId w:val="9"/>
  </w:num>
  <w:num w:numId="12" w16cid:durableId="459804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E0478"/>
    <w:rsid w:val="00126BBD"/>
    <w:rsid w:val="001516A9"/>
    <w:rsid w:val="001760C6"/>
    <w:rsid w:val="001F40FB"/>
    <w:rsid w:val="00216274"/>
    <w:rsid w:val="002642D3"/>
    <w:rsid w:val="00283C30"/>
    <w:rsid w:val="002C5F97"/>
    <w:rsid w:val="00356205"/>
    <w:rsid w:val="00357414"/>
    <w:rsid w:val="0037755E"/>
    <w:rsid w:val="0039611E"/>
    <w:rsid w:val="00396E56"/>
    <w:rsid w:val="003F4AAB"/>
    <w:rsid w:val="00432AF8"/>
    <w:rsid w:val="00473FFA"/>
    <w:rsid w:val="004915B2"/>
    <w:rsid w:val="004E6ACB"/>
    <w:rsid w:val="00691E38"/>
    <w:rsid w:val="006C40D0"/>
    <w:rsid w:val="006D6082"/>
    <w:rsid w:val="00727326"/>
    <w:rsid w:val="0078373F"/>
    <w:rsid w:val="0079498E"/>
    <w:rsid w:val="007E3FE4"/>
    <w:rsid w:val="008125B1"/>
    <w:rsid w:val="00820160"/>
    <w:rsid w:val="0082210E"/>
    <w:rsid w:val="00850C10"/>
    <w:rsid w:val="00884625"/>
    <w:rsid w:val="008C150F"/>
    <w:rsid w:val="008C6AD3"/>
    <w:rsid w:val="008F0F8A"/>
    <w:rsid w:val="009711EA"/>
    <w:rsid w:val="00B452A1"/>
    <w:rsid w:val="00BE27E2"/>
    <w:rsid w:val="00BF2CB3"/>
    <w:rsid w:val="00C014BD"/>
    <w:rsid w:val="00C05AFA"/>
    <w:rsid w:val="00C224B4"/>
    <w:rsid w:val="00C35DF9"/>
    <w:rsid w:val="00C76623"/>
    <w:rsid w:val="00C77EF4"/>
    <w:rsid w:val="00CC1E32"/>
    <w:rsid w:val="00CE6A94"/>
    <w:rsid w:val="00CF3A53"/>
    <w:rsid w:val="00D1010D"/>
    <w:rsid w:val="00D319F0"/>
    <w:rsid w:val="00D57895"/>
    <w:rsid w:val="00D870DD"/>
    <w:rsid w:val="00E052B2"/>
    <w:rsid w:val="00E20764"/>
    <w:rsid w:val="00E223FE"/>
    <w:rsid w:val="00E47BB6"/>
    <w:rsid w:val="00EC2C19"/>
    <w:rsid w:val="00EE6E42"/>
    <w:rsid w:val="00F128B8"/>
    <w:rsid w:val="00F40C7A"/>
    <w:rsid w:val="00FB190F"/>
    <w:rsid w:val="2250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31A03501-4529-4C3B-9F7F-9E2E0A7A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BB6"/>
    <w:pPr>
      <w:ind w:left="720"/>
      <w:contextualSpacing/>
    </w:pPr>
  </w:style>
  <w:style w:type="table" w:styleId="TableGrid">
    <w:name w:val="Table Grid"/>
    <w:basedOn w:val="TableNormal"/>
    <w:uiPriority w:val="39"/>
    <w:rsid w:val="00D31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7895"/>
    <w:rPr>
      <w:i/>
      <w:iCs/>
    </w:rPr>
  </w:style>
  <w:style w:type="character" w:styleId="Hyperlink">
    <w:name w:val="Hyperlink"/>
    <w:basedOn w:val="DefaultParagraphFont"/>
    <w:uiPriority w:val="99"/>
    <w:unhideWhenUsed/>
    <w:rsid w:val="00D57895"/>
    <w:rPr>
      <w:color w:val="0563C1" w:themeColor="hyperlink"/>
      <w:u w:val="single"/>
    </w:rPr>
  </w:style>
  <w:style w:type="character" w:styleId="UnresolvedMention">
    <w:name w:val="Unresolved Mention"/>
    <w:basedOn w:val="DefaultParagraphFont"/>
    <w:uiPriority w:val="99"/>
    <w:rsid w:val="00D57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E537-4B40-4176-B44E-3EED8BE4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2642</Words>
  <Characters>18022</Characters>
  <Application>Microsoft Office Word</Application>
  <DocSecurity>0</DocSecurity>
  <Lines>383</Lines>
  <Paragraphs>85</Paragraphs>
  <ScaleCrop>false</ScaleCrop>
  <Company>University of Texas at Austin</Company>
  <LinksUpToDate>false</LinksUpToDate>
  <CharactersWithSpaces>20579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21</cp:revision>
  <dcterms:created xsi:type="dcterms:W3CDTF">2018-02-09T21:34:00Z</dcterms:created>
  <dcterms:modified xsi:type="dcterms:W3CDTF">2026-01-25T23:04:00Z</dcterms:modified>
</cp:coreProperties>
</file>