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Look w:val="04A0" w:firstRow="1" w:lastRow="0" w:firstColumn="1" w:lastColumn="0" w:noHBand="0" w:noVBand="1"/>
      </w:tblPr>
      <w:tblGrid>
        <w:gridCol w:w="2430"/>
        <w:gridCol w:w="6920"/>
      </w:tblGrid>
      <w:tr w:rsidR="00A4155C" w14:paraId="7F4ADECC" w14:textId="77777777" w:rsidTr="00580675">
        <w:tc>
          <w:tcPr>
            <w:tcW w:w="2430" w:type="dxa"/>
          </w:tcPr>
          <w:p w14:paraId="10A0FC7B" w14:textId="77777777" w:rsidR="00A4155C" w:rsidRPr="00AA55FD" w:rsidRDefault="00A4155C" w:rsidP="00580675">
            <w:pPr>
              <w:rPr>
                <w:b/>
                <w:bCs/>
              </w:rPr>
            </w:pPr>
            <w:r w:rsidRPr="00AA55FD">
              <w:rPr>
                <w:b/>
                <w:bCs/>
              </w:rPr>
              <w:t>Title:</w:t>
            </w:r>
          </w:p>
        </w:tc>
        <w:tc>
          <w:tcPr>
            <w:tcW w:w="6920" w:type="dxa"/>
          </w:tcPr>
          <w:p w14:paraId="0B02A399" w14:textId="09720974" w:rsidR="00A4155C" w:rsidRPr="00A4155C" w:rsidRDefault="00A4155C" w:rsidP="00580675">
            <w:pPr>
              <w:rPr>
                <w:rFonts w:eastAsiaTheme="minorEastAsia"/>
                <w:lang w:eastAsia="ko-KR"/>
              </w:rPr>
            </w:pPr>
            <w:r>
              <w:rPr>
                <w:rFonts w:eastAsiaTheme="minorEastAsia" w:hint="eastAsia"/>
                <w:lang w:eastAsia="ko-KR"/>
              </w:rPr>
              <w:t>Development of an Optical Monitoring Framework for Real-time Reactor Power Estimation via Cherenkov Radiation</w:t>
            </w:r>
          </w:p>
        </w:tc>
      </w:tr>
      <w:tr w:rsidR="00A4155C" w14:paraId="3CA05E38" w14:textId="77777777" w:rsidTr="00580675">
        <w:tc>
          <w:tcPr>
            <w:tcW w:w="2430" w:type="dxa"/>
          </w:tcPr>
          <w:p w14:paraId="76523D7B" w14:textId="77777777" w:rsidR="00A4155C" w:rsidRDefault="00A4155C" w:rsidP="00580675">
            <w:r>
              <w:rPr>
                <w:b/>
                <w:bCs/>
              </w:rPr>
              <w:t>Technical Topic Area:</w:t>
            </w:r>
          </w:p>
        </w:tc>
        <w:tc>
          <w:tcPr>
            <w:tcW w:w="6920" w:type="dxa"/>
          </w:tcPr>
          <w:p w14:paraId="4C0D7DCF" w14:textId="01101EBC" w:rsidR="00A4155C" w:rsidRPr="00A4155C" w:rsidRDefault="00A4155C" w:rsidP="00580675">
            <w:pPr>
              <w:rPr>
                <w:rFonts w:eastAsiaTheme="minorEastAsia"/>
              </w:rPr>
            </w:pPr>
            <w:r w:rsidRPr="00AA55FD">
              <w:t xml:space="preserve">Topic Area </w:t>
            </w:r>
            <w:r>
              <w:rPr>
                <w:rFonts w:eastAsiaTheme="minorEastAsia" w:hint="eastAsia"/>
                <w:lang w:eastAsia="ko-KR"/>
              </w:rPr>
              <w:t>2</w:t>
            </w:r>
            <w:r w:rsidRPr="00AA55FD">
              <w:t xml:space="preserve"> </w:t>
            </w:r>
            <w:r>
              <w:t>–</w:t>
            </w:r>
            <w:r w:rsidRPr="00AA55FD">
              <w:t xml:space="preserve"> </w:t>
            </w:r>
            <w:r>
              <w:rPr>
                <w:rFonts w:eastAsiaTheme="minorEastAsia" w:hint="eastAsia"/>
                <w:lang w:eastAsia="ko-KR"/>
              </w:rPr>
              <w:t>Existing Plant Optimization</w:t>
            </w:r>
          </w:p>
        </w:tc>
      </w:tr>
      <w:tr w:rsidR="00A4155C" w14:paraId="66112FE3" w14:textId="77777777" w:rsidTr="00580675">
        <w:tc>
          <w:tcPr>
            <w:tcW w:w="2430" w:type="dxa"/>
          </w:tcPr>
          <w:p w14:paraId="6F4B5306" w14:textId="77777777" w:rsidR="00A4155C" w:rsidRPr="00AA55FD" w:rsidRDefault="00A4155C" w:rsidP="00580675">
            <w:pPr>
              <w:rPr>
                <w:b/>
                <w:bCs/>
              </w:rPr>
            </w:pPr>
            <w:r>
              <w:rPr>
                <w:b/>
                <w:bCs/>
              </w:rPr>
              <w:t>PI:</w:t>
            </w:r>
          </w:p>
        </w:tc>
        <w:tc>
          <w:tcPr>
            <w:tcW w:w="6920" w:type="dxa"/>
          </w:tcPr>
          <w:p w14:paraId="37BCEE5D" w14:textId="3D6DD61D" w:rsidR="00A4155C" w:rsidRDefault="00A4155C" w:rsidP="00580675">
            <w:r>
              <w:rPr>
                <w:rFonts w:eastAsiaTheme="minorEastAsia" w:hint="eastAsia"/>
                <w:lang w:eastAsia="ko-KR"/>
              </w:rPr>
              <w:t>William S. Charlton</w:t>
            </w:r>
            <w:r>
              <w:t xml:space="preserve"> (University of Texas)</w:t>
            </w:r>
          </w:p>
        </w:tc>
      </w:tr>
      <w:tr w:rsidR="00A4155C" w14:paraId="0A7EAF26" w14:textId="77777777" w:rsidTr="00580675">
        <w:tc>
          <w:tcPr>
            <w:tcW w:w="2430" w:type="dxa"/>
          </w:tcPr>
          <w:p w14:paraId="3C6709F5" w14:textId="77777777" w:rsidR="00A4155C" w:rsidRDefault="00A4155C" w:rsidP="00580675">
            <w:r w:rsidRPr="000D0B55">
              <w:rPr>
                <w:b/>
                <w:bCs/>
              </w:rPr>
              <w:t>Collaborators:</w:t>
            </w:r>
          </w:p>
        </w:tc>
        <w:tc>
          <w:tcPr>
            <w:tcW w:w="6920" w:type="dxa"/>
          </w:tcPr>
          <w:p w14:paraId="57F5C475" w14:textId="77777777" w:rsidR="00A4155C" w:rsidRDefault="00A4155C" w:rsidP="00580675">
            <w:r>
              <w:t>Jeongwon Seo (University of Texas)</w:t>
            </w:r>
          </w:p>
        </w:tc>
      </w:tr>
      <w:tr w:rsidR="00A4155C" w14:paraId="3E4E9E6F" w14:textId="77777777" w:rsidTr="00580675">
        <w:tc>
          <w:tcPr>
            <w:tcW w:w="2430" w:type="dxa"/>
          </w:tcPr>
          <w:p w14:paraId="3911F4D6" w14:textId="77777777" w:rsidR="00A4155C" w:rsidRPr="000D0B55" w:rsidRDefault="00A4155C" w:rsidP="00580675">
            <w:pPr>
              <w:rPr>
                <w:b/>
                <w:bCs/>
              </w:rPr>
            </w:pPr>
          </w:p>
        </w:tc>
        <w:tc>
          <w:tcPr>
            <w:tcW w:w="6920" w:type="dxa"/>
          </w:tcPr>
          <w:p w14:paraId="00EA79C8" w14:textId="37727017" w:rsidR="00A4155C" w:rsidRPr="00A4155C" w:rsidRDefault="00A4155C" w:rsidP="00580675">
            <w:pPr>
              <w:rPr>
                <w:rFonts w:eastAsiaTheme="minorEastAsia"/>
                <w:lang w:eastAsia="ko-KR"/>
              </w:rPr>
            </w:pPr>
            <w:r>
              <w:rPr>
                <w:rFonts w:eastAsiaTheme="minorEastAsia" w:hint="eastAsia"/>
                <w:lang w:eastAsia="ko-KR"/>
              </w:rPr>
              <w:t>Ryan Hunter Steward (Idaho National Lab)</w:t>
            </w:r>
          </w:p>
        </w:tc>
      </w:tr>
      <w:tr w:rsidR="00A4155C" w14:paraId="25AA7382" w14:textId="77777777" w:rsidTr="00580675">
        <w:tc>
          <w:tcPr>
            <w:tcW w:w="2430" w:type="dxa"/>
          </w:tcPr>
          <w:p w14:paraId="6BD87CBE" w14:textId="77777777" w:rsidR="00A4155C" w:rsidRPr="000D0B55" w:rsidRDefault="00A4155C" w:rsidP="00580675">
            <w:pPr>
              <w:rPr>
                <w:b/>
                <w:bCs/>
              </w:rPr>
            </w:pPr>
          </w:p>
        </w:tc>
        <w:tc>
          <w:tcPr>
            <w:tcW w:w="6920" w:type="dxa"/>
          </w:tcPr>
          <w:p w14:paraId="6B368573" w14:textId="0BE7558B" w:rsidR="00A4155C" w:rsidRPr="00A4155C" w:rsidRDefault="00A4155C" w:rsidP="00580675">
            <w:pPr>
              <w:rPr>
                <w:rFonts w:eastAsiaTheme="minorEastAsia"/>
                <w:lang w:eastAsia="ko-KR"/>
              </w:rPr>
            </w:pPr>
            <w:r>
              <w:rPr>
                <w:rFonts w:eastAsiaTheme="minorEastAsia" w:hint="eastAsia"/>
                <w:lang w:eastAsia="ko-KR"/>
              </w:rPr>
              <w:t xml:space="preserve">Meharban </w:t>
            </w:r>
            <w:r w:rsidR="002C177A">
              <w:rPr>
                <w:rFonts w:eastAsiaTheme="minorEastAsia" w:hint="eastAsia"/>
                <w:lang w:eastAsia="ko-KR"/>
              </w:rPr>
              <w:t xml:space="preserve">Sobti </w:t>
            </w:r>
            <w:r>
              <w:rPr>
                <w:rFonts w:eastAsiaTheme="minorEastAsia" w:hint="eastAsia"/>
                <w:lang w:eastAsia="ko-KR"/>
              </w:rPr>
              <w:t>(Antares)</w:t>
            </w:r>
          </w:p>
        </w:tc>
      </w:tr>
      <w:tr w:rsidR="00A4155C" w14:paraId="6835A86C" w14:textId="77777777" w:rsidTr="00580675">
        <w:tc>
          <w:tcPr>
            <w:tcW w:w="2430" w:type="dxa"/>
          </w:tcPr>
          <w:p w14:paraId="5472F974" w14:textId="77777777" w:rsidR="00A4155C" w:rsidRPr="000D0B55" w:rsidRDefault="00A4155C" w:rsidP="00580675">
            <w:pPr>
              <w:rPr>
                <w:b/>
                <w:bCs/>
              </w:rPr>
            </w:pPr>
          </w:p>
        </w:tc>
        <w:tc>
          <w:tcPr>
            <w:tcW w:w="6920" w:type="dxa"/>
          </w:tcPr>
          <w:p w14:paraId="59D8AB6F" w14:textId="10DD8114" w:rsidR="00A4155C" w:rsidRPr="00A4155C" w:rsidRDefault="002C177A" w:rsidP="00580675">
            <w:pPr>
              <w:rPr>
                <w:rFonts w:eastAsiaTheme="minorEastAsia"/>
                <w:lang w:eastAsia="ko-KR"/>
              </w:rPr>
            </w:pPr>
            <w:r>
              <w:rPr>
                <w:rFonts w:eastAsiaTheme="minorEastAsia" w:hint="eastAsia"/>
                <w:lang w:eastAsia="ko-KR"/>
              </w:rPr>
              <w:t xml:space="preserve">Julijan Peric </w:t>
            </w:r>
            <w:r w:rsidR="00A4155C">
              <w:rPr>
                <w:rFonts w:eastAsiaTheme="minorEastAsia" w:hint="eastAsia"/>
                <w:lang w:eastAsia="ko-KR"/>
              </w:rPr>
              <w:t>(JSI)</w:t>
            </w:r>
          </w:p>
        </w:tc>
      </w:tr>
    </w:tbl>
    <w:p w14:paraId="2D183EA4" w14:textId="77777777" w:rsidR="00D664B8" w:rsidRDefault="00D664B8"/>
    <w:p w14:paraId="340209A9" w14:textId="0A9A13C8" w:rsidR="00D664B8" w:rsidRPr="00D731A2" w:rsidRDefault="00D731A2">
      <w:pPr>
        <w:rPr>
          <w:b/>
          <w:bCs/>
          <w:u w:val="single"/>
        </w:rPr>
      </w:pPr>
      <w:r w:rsidRPr="00D731A2">
        <w:rPr>
          <w:rFonts w:hint="eastAsia"/>
          <w:b/>
          <w:bCs/>
          <w:u w:val="single"/>
          <w:lang w:eastAsia="ko-KR"/>
        </w:rPr>
        <w:t>Project Summary and Mission Relevance</w:t>
      </w:r>
    </w:p>
    <w:p w14:paraId="01D2B4C8" w14:textId="685BB9CD" w:rsidR="00D1010D" w:rsidRDefault="00D1010D" w:rsidP="6A38D438"/>
    <w:p w14:paraId="1D13C999" w14:textId="77777777" w:rsidR="00942819" w:rsidRPr="00942819" w:rsidRDefault="00942819" w:rsidP="00942819">
      <w:pPr>
        <w:jc w:val="both"/>
        <w:rPr>
          <w:rFonts w:ascii="Calibri" w:hAnsi="Calibri" w:cs="Calibri"/>
          <w:sz w:val="22"/>
          <w:szCs w:val="22"/>
          <w:lang w:eastAsia="ko-KR"/>
        </w:rPr>
      </w:pPr>
      <w:r w:rsidRPr="00942819">
        <w:rPr>
          <w:rFonts w:ascii="Calibri" w:hAnsi="Calibri" w:cs="Calibri"/>
          <w:sz w:val="22"/>
          <w:szCs w:val="22"/>
          <w:lang w:eastAsia="ko-KR"/>
        </w:rPr>
        <w:t xml:space="preserve">Reliable reactor power monitoring is essential for operational safety, yet conventional instrumentation remains tethered to legacy neutron and gamma detectors. These systems are not only expensive and prone to radiation-induced degradation but also provide only localized, point-wise measurements that are susceptible to spatial bias. Under challenging conditions such as flux tilting or asymmetric control rod configurations, the limited representativeness of these detectors can obscure the true global state of the core, </w:t>
      </w:r>
      <w:proofErr w:type="gramStart"/>
      <w:r w:rsidRPr="00942819">
        <w:rPr>
          <w:rFonts w:ascii="Calibri" w:hAnsi="Calibri" w:cs="Calibri"/>
          <w:sz w:val="22"/>
          <w:szCs w:val="22"/>
          <w:lang w:eastAsia="ko-KR"/>
        </w:rPr>
        <w:t>complicating</w:t>
      </w:r>
      <w:proofErr w:type="gramEnd"/>
      <w:r w:rsidRPr="00942819">
        <w:rPr>
          <w:rFonts w:ascii="Calibri" w:hAnsi="Calibri" w:cs="Calibri"/>
          <w:sz w:val="22"/>
          <w:szCs w:val="22"/>
          <w:lang w:eastAsia="ko-KR"/>
        </w:rPr>
        <w:t xml:space="preserve"> real-time decision-making and increasing safety margin uncertainty.</w:t>
      </w:r>
    </w:p>
    <w:p w14:paraId="443D9854" w14:textId="77777777" w:rsidR="00942819" w:rsidRPr="00942819" w:rsidRDefault="00942819" w:rsidP="00942819">
      <w:pPr>
        <w:jc w:val="both"/>
        <w:rPr>
          <w:rFonts w:ascii="Calibri" w:hAnsi="Calibri" w:cs="Calibri"/>
          <w:sz w:val="22"/>
          <w:szCs w:val="22"/>
          <w:lang w:eastAsia="ko-KR"/>
        </w:rPr>
      </w:pPr>
    </w:p>
    <w:p w14:paraId="1B29A875" w14:textId="3DF44B15" w:rsidR="00942819" w:rsidRPr="00942819" w:rsidRDefault="00942819" w:rsidP="00942819">
      <w:pPr>
        <w:jc w:val="both"/>
        <w:rPr>
          <w:rFonts w:ascii="Calibri" w:hAnsi="Calibri" w:cs="Calibri"/>
          <w:sz w:val="22"/>
          <w:szCs w:val="22"/>
          <w:lang w:eastAsia="ko-KR"/>
        </w:rPr>
      </w:pPr>
      <w:r w:rsidRPr="00942819">
        <w:rPr>
          <w:rFonts w:ascii="Calibri" w:hAnsi="Calibri" w:cs="Calibri"/>
          <w:sz w:val="22"/>
          <w:szCs w:val="22"/>
          <w:lang w:eastAsia="ko-KR"/>
        </w:rPr>
        <w:t>To address these challenges, this project proposes a transformative monitoring paradigm based on Cherenkov radiation</w:t>
      </w:r>
      <w:r w:rsidRPr="00942819">
        <w:rPr>
          <w:rFonts w:ascii="Calibri" w:hAnsi="Calibri" w:cs="Calibri" w:hint="eastAsia"/>
          <w:sz w:val="22"/>
          <w:szCs w:val="22"/>
          <w:lang w:eastAsia="ko-KR"/>
        </w:rPr>
        <w:t xml:space="preserve"> </w:t>
      </w:r>
      <w:r w:rsidRPr="00942819">
        <w:rPr>
          <w:rFonts w:ascii="Calibri" w:hAnsi="Calibri" w:cs="Calibri"/>
          <w:sz w:val="22"/>
          <w:szCs w:val="22"/>
          <w:lang w:eastAsia="ko-KR"/>
        </w:rPr>
        <w:fldChar w:fldCharType="begin"/>
      </w:r>
      <w:r w:rsidRPr="00942819">
        <w:rPr>
          <w:rFonts w:ascii="Calibri" w:hAnsi="Calibri" w:cs="Calibri"/>
          <w:sz w:val="22"/>
          <w:szCs w:val="22"/>
          <w:lang w:eastAsia="ko-KR"/>
        </w:rPr>
        <w:instrText xml:space="preserve"> ADDIN ZOTERO_ITEM CSL_CITATION {"citationID":"aeE6ugr7","properties":{"unsorted":false,"formattedCitation":"[1]","plainCitation":"[1]","noteIndex":0},"citationItems":[{"id":29,"uris":["http://zotero.org/users/15894036/items/66MBF2TK"],"itemData":{"id":29,"type":"chapter","citation-key":"LANNUNZIATA2023823","container-title":"Radioactivity (third edition)","edition":"Third Edition","ISBN":"978-0-323-90440-7","note":"DOI: https://doi.org/10.1016/B978-0-323-90440-7.00009-0","page":"823-864","publisher":"Elsevier","publisher-place":"Boston","title":"Chapter 17 - cherenkov radiation","URL":"https://www.sciencedirect.com/science/article/pii/B9780323904407000090","author":[{"family":"L'Annunziata","given":"Michael F."}],"editor":[{"family":"L'Annunziata","given":"Michael F."}],"issued":{"date-parts":[["2023"]]}}}],"schema":"https://github.com/citation-style-language/schema/raw/master/csl-citation.json"} </w:instrText>
      </w:r>
      <w:r w:rsidRPr="00942819">
        <w:rPr>
          <w:rFonts w:ascii="Calibri" w:hAnsi="Calibri" w:cs="Calibri"/>
          <w:sz w:val="22"/>
          <w:szCs w:val="22"/>
          <w:lang w:eastAsia="ko-KR"/>
        </w:rPr>
        <w:fldChar w:fldCharType="separate"/>
      </w:r>
      <w:r w:rsidRPr="00942819">
        <w:rPr>
          <w:rFonts w:ascii="Calibri" w:hAnsi="Calibri" w:cs="Calibri"/>
          <w:sz w:val="22"/>
          <w:szCs w:val="22"/>
          <w:lang w:eastAsia="ko-KR"/>
        </w:rPr>
        <w:t>[1]</w:t>
      </w:r>
      <w:r w:rsidRPr="00942819">
        <w:rPr>
          <w:rFonts w:ascii="Calibri" w:hAnsi="Calibri" w:cs="Calibri"/>
          <w:sz w:val="22"/>
          <w:szCs w:val="22"/>
          <w:lang w:eastAsia="ko-KR"/>
        </w:rPr>
        <w:fldChar w:fldCharType="end"/>
      </w:r>
      <w:r w:rsidRPr="00942819">
        <w:rPr>
          <w:rFonts w:ascii="Calibri" w:hAnsi="Calibri" w:cs="Calibri"/>
          <w:sz w:val="22"/>
          <w:szCs w:val="22"/>
          <w:lang w:eastAsia="ko-KR"/>
        </w:rPr>
        <w:t>. By utilizing commercial-grade imaging devices to capture emissions directly from the reactor core, this approach treats the moderator as a massive radiator. This enables the reconstruction of full-core spatial flux distributions and provides a power estimation closely coupled with actual energy deposition</w:t>
      </w:r>
      <w:r w:rsidRPr="00942819">
        <w:rPr>
          <w:rFonts w:ascii="Calibri" w:hAnsi="Calibri" w:cs="Calibri" w:hint="eastAsia"/>
          <w:sz w:val="22"/>
          <w:szCs w:val="22"/>
          <w:lang w:eastAsia="ko-KR"/>
        </w:rPr>
        <w:t xml:space="preserve">, </w:t>
      </w:r>
      <w:r w:rsidRPr="00942819">
        <w:rPr>
          <w:rFonts w:ascii="Calibri" w:hAnsi="Calibri" w:cs="Calibri"/>
          <w:sz w:val="22"/>
          <w:szCs w:val="22"/>
          <w:lang w:eastAsia="ko-KR"/>
        </w:rPr>
        <w:t>including gamma-induced heating</w:t>
      </w:r>
      <w:r w:rsidRPr="00942819">
        <w:rPr>
          <w:rFonts w:ascii="Calibri" w:hAnsi="Calibri" w:cs="Calibri" w:hint="eastAsia"/>
          <w:sz w:val="22"/>
          <w:szCs w:val="22"/>
          <w:lang w:eastAsia="ko-KR"/>
        </w:rPr>
        <w:t xml:space="preserve">, </w:t>
      </w:r>
      <w:r w:rsidRPr="00942819">
        <w:rPr>
          <w:rFonts w:ascii="Calibri" w:hAnsi="Calibri" w:cs="Calibri"/>
          <w:sz w:val="22"/>
          <w:szCs w:val="22"/>
          <w:lang w:eastAsia="ko-KR"/>
        </w:rPr>
        <w:t>rather than being restricted to localized neutron counts.</w:t>
      </w:r>
    </w:p>
    <w:p w14:paraId="31ABC44A" w14:textId="77777777" w:rsidR="00942819" w:rsidRPr="00942819" w:rsidRDefault="00942819" w:rsidP="00942819">
      <w:pPr>
        <w:jc w:val="both"/>
        <w:rPr>
          <w:rFonts w:ascii="Calibri" w:hAnsi="Calibri" w:cs="Calibri"/>
          <w:sz w:val="22"/>
          <w:szCs w:val="22"/>
          <w:lang w:eastAsia="ko-KR"/>
        </w:rPr>
      </w:pPr>
    </w:p>
    <w:p w14:paraId="28305AFC" w14:textId="56ED04D7" w:rsidR="00942819" w:rsidRDefault="00942819" w:rsidP="00942819">
      <w:pPr>
        <w:jc w:val="both"/>
        <w:rPr>
          <w:rFonts w:ascii="Calibri" w:hAnsi="Calibri" w:cs="Calibri"/>
          <w:sz w:val="22"/>
          <w:szCs w:val="22"/>
          <w:lang w:eastAsia="ko-KR"/>
        </w:rPr>
      </w:pPr>
      <w:r w:rsidRPr="00942819">
        <w:rPr>
          <w:rFonts w:ascii="Calibri" w:hAnsi="Calibri" w:cs="Calibri"/>
          <w:sz w:val="22"/>
          <w:szCs w:val="22"/>
          <w:lang w:eastAsia="ko-KR"/>
        </w:rPr>
        <w:t>Built upon successful experimental foundations at the UT TRIGA Mk-II reactor</w:t>
      </w:r>
      <w:r w:rsidRPr="00942819">
        <w:rPr>
          <w:rFonts w:ascii="Calibri" w:hAnsi="Calibri" w:cs="Calibri" w:hint="eastAsia"/>
          <w:sz w:val="22"/>
          <w:szCs w:val="22"/>
          <w:lang w:eastAsia="ko-KR"/>
        </w:rPr>
        <w:t xml:space="preserve"> </w:t>
      </w:r>
      <w:r w:rsidRPr="00942819">
        <w:rPr>
          <w:rFonts w:ascii="Calibri" w:hAnsi="Calibri" w:cs="Calibri"/>
          <w:b/>
          <w:bCs/>
          <w:sz w:val="22"/>
          <w:szCs w:val="22"/>
          <w:lang w:eastAsia="ko-KR"/>
        </w:rPr>
        <w:fldChar w:fldCharType="begin"/>
      </w:r>
      <w:r w:rsidRPr="00942819">
        <w:rPr>
          <w:rFonts w:ascii="Calibri" w:hAnsi="Calibri" w:cs="Calibri"/>
          <w:b/>
          <w:bCs/>
          <w:sz w:val="22"/>
          <w:szCs w:val="22"/>
          <w:lang w:eastAsia="ko-KR"/>
        </w:rPr>
        <w:instrText xml:space="preserve"> ADDIN ZOTERO_ITEM CSL_CITATION {"citationID":"B9ICUgJf","properties":{"unsorted":false,"formattedCitation":"[2]","plainCitation":"[2]","noteIndex":0},"citationItems":[{"id":26,"uris":["http://zotero.org/users/15894036/items/UA3VNLW6"],"itemData":{"id":26,"type":"report","number":"License No. R-129, Docket No. 50-602","publisher":"Nuclear Engineering Teaching Laboratory, The University of Texas at Austin","title":"University of Texas at Austin TRIGA Research Reactor Safety Analysis Report: Updated Safety Analysis Report in Support of the License Renewal Application (Redacted Version)","issued":{"date-parts":[["2023",8]]}}}],"schema":"https://github.com/citation-style-language/schema/raw/master/csl-citation.json"} </w:instrText>
      </w:r>
      <w:r w:rsidRPr="00942819">
        <w:rPr>
          <w:rFonts w:ascii="Calibri" w:hAnsi="Calibri" w:cs="Calibri"/>
          <w:b/>
          <w:bCs/>
          <w:sz w:val="22"/>
          <w:szCs w:val="22"/>
          <w:lang w:eastAsia="ko-KR"/>
        </w:rPr>
        <w:fldChar w:fldCharType="separate"/>
      </w:r>
      <w:r w:rsidRPr="00942819">
        <w:rPr>
          <w:rFonts w:ascii="Calibri" w:hAnsi="Calibri" w:cs="Calibri"/>
          <w:sz w:val="22"/>
          <w:szCs w:val="22"/>
          <w:lang w:eastAsia="ko-KR"/>
        </w:rPr>
        <w:t>[2]</w:t>
      </w:r>
      <w:r w:rsidRPr="00942819">
        <w:rPr>
          <w:rFonts w:ascii="Calibri" w:hAnsi="Calibri" w:cs="Calibri"/>
          <w:b/>
          <w:bCs/>
          <w:sz w:val="22"/>
          <w:szCs w:val="22"/>
          <w:lang w:eastAsia="ko-KR"/>
        </w:rPr>
        <w:fldChar w:fldCharType="end"/>
      </w:r>
      <w:r w:rsidRPr="00942819">
        <w:rPr>
          <w:rFonts w:ascii="Calibri" w:hAnsi="Calibri" w:cs="Calibri"/>
          <w:sz w:val="22"/>
          <w:szCs w:val="22"/>
          <w:lang w:eastAsia="ko-KR"/>
        </w:rPr>
        <w:t>, preliminary demonstrations confirm that camera-based signals correlate robustly with reactor power while offering a dramatic cost reduction</w:t>
      </w:r>
      <w:r w:rsidRPr="00942819">
        <w:rPr>
          <w:rFonts w:ascii="Calibri" w:hAnsi="Calibri" w:cs="Calibri" w:hint="eastAsia"/>
          <w:sz w:val="22"/>
          <w:szCs w:val="22"/>
          <w:lang w:eastAsia="ko-KR"/>
        </w:rPr>
        <w:t xml:space="preserve">, e.g., </w:t>
      </w:r>
      <w:r w:rsidRPr="00942819">
        <w:rPr>
          <w:rFonts w:ascii="Calibri" w:hAnsi="Calibri" w:cs="Calibri"/>
          <w:sz w:val="22"/>
          <w:szCs w:val="22"/>
          <w:lang w:eastAsia="ko-KR"/>
        </w:rPr>
        <w:t>averaging hundreds of dollars compared to tens of thousands per traditional channel. This shift to dense, low-cost optical arrays enables unprecedented redundancy and enhanced diagnostics for research reactors, the existing commercial fleet, and advanced Small Modular Reactors (SMRs).</w:t>
      </w:r>
    </w:p>
    <w:p w14:paraId="31FDA49D" w14:textId="77777777" w:rsidR="00421F76" w:rsidRPr="00942819" w:rsidRDefault="00421F76" w:rsidP="00942819">
      <w:pPr>
        <w:jc w:val="both"/>
        <w:rPr>
          <w:rFonts w:ascii="Calibri" w:hAnsi="Calibri" w:cs="Calibri"/>
          <w:sz w:val="22"/>
          <w:szCs w:val="22"/>
          <w:lang w:eastAsia="ko-KR"/>
        </w:rPr>
      </w:pPr>
    </w:p>
    <w:p w14:paraId="621F3E27" w14:textId="77777777" w:rsidR="00942819" w:rsidRPr="00942819" w:rsidRDefault="00942819" w:rsidP="00942819">
      <w:pPr>
        <w:jc w:val="both"/>
        <w:rPr>
          <w:rFonts w:ascii="Calibri" w:hAnsi="Calibri" w:cs="Calibri"/>
          <w:sz w:val="22"/>
          <w:szCs w:val="22"/>
          <w:lang w:eastAsia="ko-KR"/>
        </w:rPr>
      </w:pPr>
      <w:r w:rsidRPr="00942819">
        <w:rPr>
          <w:rFonts w:ascii="Calibri" w:hAnsi="Calibri" w:cs="Calibri"/>
          <w:sz w:val="22"/>
          <w:szCs w:val="22"/>
          <w:lang w:eastAsia="ko-KR"/>
        </w:rPr>
        <w:t>This research directly aligns with the DOE-NE mission to modernize U.S. nuclear infrastructure by improving safety and economic competitiveness. By providing a scalable, energy-grounded solution, the project supports the development of next-generation autonomous and digital-twin-enabled control systems, ensuring the long-term sustainability of carbon-free nuclear energy.</w:t>
      </w:r>
    </w:p>
    <w:p w14:paraId="1438FEE4" w14:textId="77777777" w:rsidR="00942819" w:rsidRDefault="00942819" w:rsidP="007C06A2">
      <w:pPr>
        <w:jc w:val="both"/>
        <w:rPr>
          <w:rFonts w:ascii="Calibri" w:hAnsi="Calibri" w:cs="Calibri"/>
          <w:lang w:eastAsia="ko-KR"/>
        </w:rPr>
      </w:pPr>
    </w:p>
    <w:p w14:paraId="75636AC3" w14:textId="5DDF7E27" w:rsidR="6A38D438" w:rsidRDefault="6A38D438" w:rsidP="6A38D438">
      <w:pPr>
        <w:rPr>
          <w:rFonts w:ascii="Calibri" w:hAnsi="Calibri" w:cs="Calibri"/>
          <w:lang w:eastAsia="ko-KR"/>
        </w:rPr>
      </w:pPr>
    </w:p>
    <w:p w14:paraId="1F0CE137" w14:textId="68261C94" w:rsidR="00014DD3" w:rsidRPr="00903805" w:rsidRDefault="00903805" w:rsidP="6A38D438">
      <w:pPr>
        <w:rPr>
          <w:b/>
          <w:bCs/>
          <w:u w:val="single"/>
          <w:lang w:eastAsia="ko-KR"/>
        </w:rPr>
      </w:pPr>
      <w:r w:rsidRPr="00903805">
        <w:rPr>
          <w:rFonts w:hint="eastAsia"/>
          <w:b/>
          <w:bCs/>
          <w:u w:val="single"/>
          <w:lang w:eastAsia="ko-KR"/>
        </w:rPr>
        <w:t>Technical Background: The Optical Monitoring Advantage</w:t>
      </w:r>
    </w:p>
    <w:p w14:paraId="7A39E80B" w14:textId="77777777" w:rsidR="00903805" w:rsidRDefault="00903805" w:rsidP="6A38D438">
      <w:pPr>
        <w:rPr>
          <w:lang w:eastAsia="ko-KR"/>
        </w:rPr>
      </w:pPr>
    </w:p>
    <w:p w14:paraId="0FEE8A57" w14:textId="77777777" w:rsidR="00903805" w:rsidRPr="00903805" w:rsidRDefault="00903805" w:rsidP="00903805">
      <w:pPr>
        <w:rPr>
          <w:b/>
          <w:bCs/>
          <w:lang w:eastAsia="ko-KR"/>
        </w:rPr>
      </w:pPr>
      <w:r w:rsidRPr="00903805">
        <w:rPr>
          <w:b/>
          <w:bCs/>
          <w:lang w:eastAsia="ko-KR"/>
        </w:rPr>
        <w:t xml:space="preserve">Limitations of Conventional Instrumentation </w:t>
      </w:r>
    </w:p>
    <w:p w14:paraId="5CF6D405" w14:textId="77777777" w:rsidR="00903805" w:rsidRDefault="00903805" w:rsidP="00903805">
      <w:pPr>
        <w:rPr>
          <w:lang w:eastAsia="ko-KR"/>
        </w:rPr>
      </w:pPr>
    </w:p>
    <w:p w14:paraId="1836D6F5" w14:textId="38680A53" w:rsidR="00CE5C44" w:rsidRPr="00942819" w:rsidRDefault="00E04BBF" w:rsidP="00E04BBF">
      <w:pPr>
        <w:jc w:val="both"/>
        <w:rPr>
          <w:sz w:val="22"/>
          <w:szCs w:val="22"/>
          <w:lang w:eastAsia="ko-KR"/>
        </w:rPr>
      </w:pPr>
      <w:r w:rsidRPr="00942819">
        <w:rPr>
          <w:sz w:val="22"/>
          <w:szCs w:val="22"/>
          <w:lang w:eastAsia="ko-KR"/>
        </w:rPr>
        <w:t xml:space="preserve">Standard reactor power monitoring relies on fixed ex-core neutron and gamma detectors, such as ionization and fission chambers, which suffer from inherent localized measurement bias. Because these sensors sample flux only at specific coordinates, they often fail to capture global shifts in neutron population during asymmetric operations, such as "flux tilts" caused by non-uniform control rod </w:t>
      </w:r>
      <w:r w:rsidRPr="00942819">
        <w:rPr>
          <w:sz w:val="22"/>
          <w:szCs w:val="22"/>
          <w:lang w:eastAsia="ko-KR"/>
        </w:rPr>
        <w:lastRenderedPageBreak/>
        <w:t>positioning. Beyond spatial limitations, conventional detectors exhibit excessive signal noise at high-power levels above 300 kW. This instability can trigger spurious scrams even within safe limits, often forcing facilities to operate below their licensed maximum power. Furthermore, the high cost of nuclear-grade equipment and its susceptibility to radiation-induced degradation limit the degree of redundancy that can be economically maintained.</w:t>
      </w:r>
    </w:p>
    <w:p w14:paraId="0A3CD3B4" w14:textId="77777777" w:rsidR="00942819" w:rsidRDefault="00942819" w:rsidP="00E04BBF">
      <w:pPr>
        <w:jc w:val="both"/>
        <w:rPr>
          <w:lang w:eastAsia="ko-KR"/>
        </w:rPr>
      </w:pPr>
    </w:p>
    <w:p w14:paraId="3C490A92" w14:textId="7A1C0128" w:rsidR="00942819" w:rsidRDefault="00A22CA0" w:rsidP="00942819">
      <w:pPr>
        <w:jc w:val="center"/>
        <w:rPr>
          <w:lang w:eastAsia="ko-KR"/>
        </w:rPr>
      </w:pPr>
      <w:r w:rsidRPr="00A22CA0">
        <w:rPr>
          <w:noProof/>
          <w:lang w:eastAsia="ko-KR"/>
        </w:rPr>
        <w:drawing>
          <wp:inline distT="0" distB="0" distL="0" distR="0" wp14:anchorId="1F65434F" wp14:editId="47BFA162">
            <wp:extent cx="5943600" cy="3293110"/>
            <wp:effectExtent l="0" t="0" r="0" b="2540"/>
            <wp:docPr id="157703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3015" name=""/>
                    <pic:cNvPicPr/>
                  </pic:nvPicPr>
                  <pic:blipFill>
                    <a:blip r:embed="rId5"/>
                    <a:stretch>
                      <a:fillRect/>
                    </a:stretch>
                  </pic:blipFill>
                  <pic:spPr>
                    <a:xfrm>
                      <a:off x="0" y="0"/>
                      <a:ext cx="5943600" cy="3293110"/>
                    </a:xfrm>
                    <a:prstGeom prst="rect">
                      <a:avLst/>
                    </a:prstGeom>
                  </pic:spPr>
                </pic:pic>
              </a:graphicData>
            </a:graphic>
          </wp:inline>
        </w:drawing>
      </w:r>
    </w:p>
    <w:p w14:paraId="33297C35" w14:textId="77777777" w:rsidR="00E04BBF" w:rsidRPr="00903805" w:rsidRDefault="00E04BBF" w:rsidP="00903805">
      <w:pPr>
        <w:rPr>
          <w:lang w:eastAsia="ko-KR"/>
        </w:rPr>
      </w:pPr>
    </w:p>
    <w:p w14:paraId="73D12502" w14:textId="7835291C" w:rsidR="00903805" w:rsidRPr="00903805" w:rsidRDefault="00903805" w:rsidP="00903805">
      <w:pPr>
        <w:rPr>
          <w:b/>
          <w:bCs/>
          <w:lang w:eastAsia="ko-KR"/>
        </w:rPr>
      </w:pPr>
      <w:r w:rsidRPr="00903805">
        <w:rPr>
          <w:b/>
          <w:bCs/>
          <w:lang w:eastAsia="ko-KR"/>
        </w:rPr>
        <w:t>Cherenkov Intensity</w:t>
      </w:r>
      <w:r w:rsidR="00E04BBF">
        <w:rPr>
          <w:rFonts w:hint="eastAsia"/>
          <w:b/>
          <w:bCs/>
          <w:lang w:eastAsia="ko-KR"/>
        </w:rPr>
        <w:t>:</w:t>
      </w:r>
      <w:r w:rsidRPr="00903805">
        <w:rPr>
          <w:b/>
          <w:bCs/>
          <w:lang w:eastAsia="ko-KR"/>
        </w:rPr>
        <w:t xml:space="preserve"> </w:t>
      </w:r>
      <w:r w:rsidR="00E04BBF">
        <w:rPr>
          <w:rFonts w:hint="eastAsia"/>
          <w:b/>
          <w:bCs/>
          <w:lang w:eastAsia="ko-KR"/>
        </w:rPr>
        <w:t>A Robust Proxy for Total Energy Deposition</w:t>
      </w:r>
    </w:p>
    <w:p w14:paraId="1A0AE959" w14:textId="77777777" w:rsidR="00903805" w:rsidRDefault="00903805" w:rsidP="00903805">
      <w:pPr>
        <w:rPr>
          <w:lang w:eastAsia="ko-KR"/>
        </w:rPr>
      </w:pPr>
    </w:p>
    <w:p w14:paraId="42B3A8ED" w14:textId="7C3B9873" w:rsidR="00E04BBF" w:rsidRPr="00942819" w:rsidRDefault="00E04BBF" w:rsidP="00E04BBF">
      <w:pPr>
        <w:jc w:val="both"/>
        <w:rPr>
          <w:sz w:val="22"/>
          <w:szCs w:val="22"/>
          <w:lang w:eastAsia="ko-KR"/>
        </w:rPr>
      </w:pPr>
      <w:r w:rsidRPr="00942819">
        <w:rPr>
          <w:sz w:val="22"/>
          <w:szCs w:val="22"/>
          <w:lang w:eastAsia="ko-KR"/>
        </w:rPr>
        <w:t xml:space="preserve">In contrast to traditional particle counting, this project utilizes Cherenkov radiation as a transformative monitoring signal. This characteristic blue glow, emitted by charged particles traveling faster than the phase velocity of light in the moderator, serves as a real-time indicator of energy deposition within the core. Because prompt gamma-rays provide the dominant contribution to Cherenkov intensity, the signal is closely coupled </w:t>
      </w:r>
      <w:proofErr w:type="gramStart"/>
      <w:r w:rsidRPr="00942819">
        <w:rPr>
          <w:sz w:val="22"/>
          <w:szCs w:val="22"/>
          <w:lang w:eastAsia="ko-KR"/>
        </w:rPr>
        <w:t>to</w:t>
      </w:r>
      <w:proofErr w:type="gramEnd"/>
      <w:r w:rsidRPr="00942819">
        <w:rPr>
          <w:sz w:val="22"/>
          <w:szCs w:val="22"/>
          <w:lang w:eastAsia="ko-KR"/>
        </w:rPr>
        <w:t xml:space="preserve"> actual thermal power and total energy deposition, offering an estimation more physically fundamental than neutron counts alone. Experimental validation at the UT TRIGA reactor confirms that optical signals from commercial cameras exhibit a superior signal-to-noise ratio in high-power regimes. Additionally, while standard channels operate at approximately 5 </w:t>
      </w:r>
      <w:r w:rsidR="00143A1C">
        <w:rPr>
          <w:rFonts w:hint="eastAsia"/>
          <w:sz w:val="22"/>
          <w:szCs w:val="22"/>
          <w:lang w:eastAsia="ko-KR"/>
        </w:rPr>
        <w:t>fps</w:t>
      </w:r>
      <w:r w:rsidRPr="00942819">
        <w:rPr>
          <w:sz w:val="22"/>
          <w:szCs w:val="22"/>
          <w:lang w:eastAsia="ko-KR"/>
        </w:rPr>
        <w:t xml:space="preserve">, modern imaging sensors can </w:t>
      </w:r>
      <w:proofErr w:type="gramStart"/>
      <w:r w:rsidRPr="00942819">
        <w:rPr>
          <w:sz w:val="22"/>
          <w:szCs w:val="22"/>
          <w:lang w:eastAsia="ko-KR"/>
        </w:rPr>
        <w:t>record at</w:t>
      </w:r>
      <w:proofErr w:type="gramEnd"/>
      <w:r w:rsidRPr="00942819">
        <w:rPr>
          <w:sz w:val="22"/>
          <w:szCs w:val="22"/>
          <w:lang w:eastAsia="ko-KR"/>
        </w:rPr>
        <w:t xml:space="preserve"> up to 120 fps, providing a 24-fold increase in temporal resolution for analyzing rapid transients</w:t>
      </w:r>
      <w:r w:rsidRPr="00942819">
        <w:rPr>
          <w:rFonts w:hint="eastAsia"/>
          <w:sz w:val="22"/>
          <w:szCs w:val="22"/>
          <w:lang w:eastAsia="ko-KR"/>
        </w:rPr>
        <w:t>.</w:t>
      </w:r>
    </w:p>
    <w:p w14:paraId="1DCC063A" w14:textId="5BB4AB79" w:rsidR="00903805" w:rsidRDefault="00903805" w:rsidP="00CE5C44">
      <w:pPr>
        <w:jc w:val="both"/>
        <w:rPr>
          <w:lang w:eastAsia="ko-KR"/>
        </w:rPr>
      </w:pPr>
    </w:p>
    <w:p w14:paraId="2AEFA6FC" w14:textId="3D33DD78" w:rsidR="00903805" w:rsidRDefault="00E04BBF" w:rsidP="00903805">
      <w:pPr>
        <w:rPr>
          <w:lang w:eastAsia="ko-KR"/>
        </w:rPr>
      </w:pPr>
      <w:r w:rsidRPr="00E04BBF">
        <w:rPr>
          <w:b/>
          <w:bCs/>
          <w:lang w:eastAsia="ko-KR"/>
        </w:rPr>
        <w:t>Spatial Diagnostics and 3D Flux Reconstruction</w:t>
      </w:r>
    </w:p>
    <w:p w14:paraId="7C985CBD" w14:textId="77777777" w:rsidR="00903805" w:rsidRDefault="00903805" w:rsidP="00903805">
      <w:pPr>
        <w:rPr>
          <w:lang w:eastAsia="ko-KR"/>
        </w:rPr>
      </w:pPr>
    </w:p>
    <w:p w14:paraId="172F2826" w14:textId="1ADEE3E0" w:rsidR="00903805" w:rsidRPr="00942819" w:rsidRDefault="00E04BBF" w:rsidP="00E04BBF">
      <w:pPr>
        <w:jc w:val="both"/>
        <w:rPr>
          <w:sz w:val="22"/>
          <w:szCs w:val="22"/>
          <w:lang w:eastAsia="ko-KR"/>
        </w:rPr>
      </w:pPr>
      <w:r w:rsidRPr="00942819">
        <w:rPr>
          <w:sz w:val="22"/>
          <w:szCs w:val="22"/>
          <w:lang w:eastAsia="ko-KR"/>
        </w:rPr>
        <w:t xml:space="preserve">The transition from sparse sensing to dense optical arrays enables a new level of spatially integrated monitoring. By utilizing the moderator as a massive radiator, the camera captures a holistic view of the core that is inherently resistant to localized flux distortions, ensuring a representative indication of reactor power regardless of internal asymmetries. Looking forward, this rich spatial data can be leveraged through multi-camera configurations to achieve 3D Flux Distribution Reconstruction. By identifying power peaks and reactivity anomalies invisible to point-wise detectors, this non-intrusive framework provides the </w:t>
      </w:r>
      <w:r w:rsidRPr="00942819">
        <w:rPr>
          <w:sz w:val="22"/>
          <w:szCs w:val="22"/>
          <w:lang w:eastAsia="ko-KR"/>
        </w:rPr>
        <w:lastRenderedPageBreak/>
        <w:t>essential data layer for advanced Digital Twins. This technology ensures a 90% reduction in equipment costs—averaging between $400 and $700—while enhancing the safety and economic competitiveness of both the existing fleet and advanced reactor concepts.</w:t>
      </w:r>
    </w:p>
    <w:p w14:paraId="0B944F54" w14:textId="77777777" w:rsidR="00903805" w:rsidRPr="00014DD3" w:rsidRDefault="00903805" w:rsidP="6A38D438">
      <w:pPr>
        <w:rPr>
          <w:lang w:eastAsia="ko-KR"/>
        </w:rPr>
      </w:pPr>
    </w:p>
    <w:p w14:paraId="17FB4181" w14:textId="0B77EC4A" w:rsidR="6A38D438" w:rsidRPr="00903805" w:rsidRDefault="6A38D438" w:rsidP="6A38D438">
      <w:pPr>
        <w:rPr>
          <w:b/>
          <w:bCs/>
          <w:u w:val="single"/>
        </w:rPr>
      </w:pPr>
      <w:r w:rsidRPr="00903805">
        <w:rPr>
          <w:rFonts w:ascii="Calibri" w:eastAsia="Calibri" w:hAnsi="Calibri" w:cs="Calibri"/>
          <w:b/>
          <w:bCs/>
          <w:u w:val="single"/>
        </w:rPr>
        <w:t>Technical Objectives:</w:t>
      </w:r>
    </w:p>
    <w:p w14:paraId="0E3538BB" w14:textId="3FD70F5C" w:rsidR="6A38D438" w:rsidRDefault="6A38D438" w:rsidP="6A38D438">
      <w:r w:rsidRPr="6A38D438">
        <w:rPr>
          <w:rFonts w:ascii="Calibri" w:eastAsia="Calibri" w:hAnsi="Calibri" w:cs="Calibri"/>
        </w:rPr>
        <w:t xml:space="preserve"> </w:t>
      </w:r>
    </w:p>
    <w:p w14:paraId="5431D06A" w14:textId="349613DB" w:rsidR="007C06A2" w:rsidRPr="00421F76" w:rsidRDefault="6A38D438" w:rsidP="6A38D438">
      <w:pPr>
        <w:rPr>
          <w:rFonts w:ascii="Calibri" w:hAnsi="Calibri" w:cs="Calibri"/>
          <w:sz w:val="22"/>
          <w:szCs w:val="22"/>
          <w:lang w:eastAsia="ko-KR"/>
        </w:rPr>
      </w:pPr>
      <w:r w:rsidRPr="00421F76">
        <w:rPr>
          <w:rFonts w:ascii="Calibri" w:eastAsia="Calibri" w:hAnsi="Calibri" w:cs="Calibri"/>
          <w:b/>
          <w:bCs/>
          <w:sz w:val="22"/>
          <w:szCs w:val="22"/>
        </w:rPr>
        <w:t xml:space="preserve">Objective </w:t>
      </w:r>
      <w:r w:rsidR="00E601C3" w:rsidRPr="00421F76">
        <w:rPr>
          <w:rFonts w:ascii="Calibri" w:hAnsi="Calibri" w:cs="Calibri" w:hint="eastAsia"/>
          <w:b/>
          <w:bCs/>
          <w:sz w:val="22"/>
          <w:szCs w:val="22"/>
          <w:lang w:eastAsia="ko-KR"/>
        </w:rPr>
        <w:t>1</w:t>
      </w:r>
      <w:r w:rsidRPr="00421F76">
        <w:rPr>
          <w:rFonts w:ascii="Calibri" w:eastAsia="Calibri" w:hAnsi="Calibri" w:cs="Calibri"/>
          <w:b/>
          <w:bCs/>
          <w:sz w:val="22"/>
          <w:szCs w:val="22"/>
        </w:rPr>
        <w:t xml:space="preserve"> — </w:t>
      </w:r>
      <w:r w:rsidR="007C06A2" w:rsidRPr="00421F76">
        <w:rPr>
          <w:rFonts w:ascii="Calibri" w:hAnsi="Calibri" w:cs="Calibri" w:hint="eastAsia"/>
          <w:b/>
          <w:bCs/>
          <w:sz w:val="22"/>
          <w:szCs w:val="22"/>
          <w:lang w:eastAsia="ko-KR"/>
        </w:rPr>
        <w:t xml:space="preserve">Establish global Cherenkov </w:t>
      </w:r>
      <w:r w:rsidR="007C06A2" w:rsidRPr="00421F76">
        <w:rPr>
          <w:rFonts w:ascii="Calibri" w:hAnsi="Calibri" w:cs="Calibri"/>
          <w:b/>
          <w:bCs/>
          <w:sz w:val="22"/>
          <w:szCs w:val="22"/>
          <w:lang w:eastAsia="ko-KR"/>
        </w:rPr>
        <w:t>–</w:t>
      </w:r>
      <w:r w:rsidR="007C06A2" w:rsidRPr="00421F76">
        <w:rPr>
          <w:rFonts w:ascii="Calibri" w:hAnsi="Calibri" w:cs="Calibri" w:hint="eastAsia"/>
          <w:b/>
          <w:bCs/>
          <w:sz w:val="22"/>
          <w:szCs w:val="22"/>
          <w:lang w:eastAsia="ko-KR"/>
        </w:rPr>
        <w:t xml:space="preserve"> power correlation</w:t>
      </w:r>
      <w:r w:rsidR="007C06A2" w:rsidRPr="00421F76">
        <w:rPr>
          <w:rFonts w:ascii="Calibri" w:hAnsi="Calibri" w:cs="Calibri" w:hint="eastAsia"/>
          <w:sz w:val="22"/>
          <w:szCs w:val="22"/>
          <w:lang w:eastAsia="ko-KR"/>
        </w:rPr>
        <w:t>:</w:t>
      </w:r>
    </w:p>
    <w:p w14:paraId="48F98018" w14:textId="62BEFE62" w:rsidR="6A38D438" w:rsidRPr="00421F76" w:rsidRDefault="6A38D438" w:rsidP="00E601C3">
      <w:pPr>
        <w:jc w:val="both"/>
        <w:rPr>
          <w:sz w:val="22"/>
          <w:szCs w:val="22"/>
          <w:lang w:eastAsia="ko-KR"/>
        </w:rPr>
      </w:pPr>
      <w:r w:rsidRPr="00421F76">
        <w:rPr>
          <w:rFonts w:ascii="Calibri" w:eastAsia="Calibri" w:hAnsi="Calibri" w:cs="Calibri"/>
          <w:sz w:val="22"/>
          <w:szCs w:val="22"/>
        </w:rPr>
        <w:t xml:space="preserve">Develop </w:t>
      </w:r>
      <w:r w:rsidR="007C06A2" w:rsidRPr="00421F76">
        <w:rPr>
          <w:rFonts w:ascii="Calibri" w:hAnsi="Calibri" w:cs="Calibri" w:hint="eastAsia"/>
          <w:sz w:val="22"/>
          <w:szCs w:val="22"/>
          <w:lang w:eastAsia="ko-KR"/>
        </w:rPr>
        <w:t>robust models that quantify the relationship between globally integrated Cherenkov light intensity and reactor power</w:t>
      </w:r>
    </w:p>
    <w:p w14:paraId="4991683E" w14:textId="09D31D9B" w:rsidR="00014DD3" w:rsidRPr="00421F76" w:rsidRDefault="00014DD3" w:rsidP="00E601C3">
      <w:pPr>
        <w:pStyle w:val="ListParagraph"/>
        <w:numPr>
          <w:ilvl w:val="0"/>
          <w:numId w:val="4"/>
        </w:numPr>
        <w:jc w:val="both"/>
        <w:rPr>
          <w:rFonts w:ascii="Calibri" w:eastAsia="Calibri" w:hAnsi="Calibri" w:cs="Calibri"/>
          <w:sz w:val="22"/>
          <w:szCs w:val="22"/>
        </w:rPr>
      </w:pPr>
      <w:r w:rsidRPr="00421F76">
        <w:rPr>
          <w:rFonts w:ascii="Calibri" w:eastAsia="Calibri" w:hAnsi="Calibri" w:cs="Calibri"/>
          <w:sz w:val="22"/>
          <w:szCs w:val="22"/>
        </w:rPr>
        <w:t>Evaluate robustness of the Cherenkov–power correlation under flux-tilt and asymmetric control rod conditions</w:t>
      </w:r>
    </w:p>
    <w:p w14:paraId="41FB2E7B" w14:textId="52ACC86A" w:rsidR="6A38D438" w:rsidRPr="00421F76" w:rsidRDefault="007C06A2" w:rsidP="6A38D438">
      <w:pPr>
        <w:pStyle w:val="ListParagraph"/>
        <w:numPr>
          <w:ilvl w:val="0"/>
          <w:numId w:val="4"/>
        </w:numPr>
        <w:rPr>
          <w:rFonts w:ascii="Calibri" w:eastAsia="Calibri" w:hAnsi="Calibri" w:cs="Calibri"/>
          <w:sz w:val="22"/>
          <w:szCs w:val="22"/>
        </w:rPr>
      </w:pPr>
      <w:r w:rsidRPr="00421F76">
        <w:rPr>
          <w:rFonts w:ascii="Calibri" w:hAnsi="Calibri" w:cs="Calibri" w:hint="eastAsia"/>
          <w:sz w:val="22"/>
          <w:szCs w:val="22"/>
          <w:lang w:eastAsia="ko-KR"/>
        </w:rPr>
        <w:t>Characterize linear and nonlinear regimes arising from video signal and saturation effect</w:t>
      </w:r>
    </w:p>
    <w:p w14:paraId="4ACFBA90" w14:textId="117E2F81" w:rsidR="6A38D438" w:rsidRPr="00421F76" w:rsidRDefault="007C06A2" w:rsidP="6A38D438">
      <w:pPr>
        <w:pStyle w:val="ListParagraph"/>
        <w:numPr>
          <w:ilvl w:val="0"/>
          <w:numId w:val="4"/>
        </w:numPr>
        <w:rPr>
          <w:rFonts w:ascii="Calibri" w:eastAsia="Calibri" w:hAnsi="Calibri" w:cs="Calibri"/>
          <w:sz w:val="22"/>
          <w:szCs w:val="22"/>
        </w:rPr>
      </w:pPr>
      <w:r w:rsidRPr="00421F76">
        <w:rPr>
          <w:rFonts w:ascii="Calibri" w:hAnsi="Calibri" w:cs="Calibri" w:hint="eastAsia"/>
          <w:sz w:val="22"/>
          <w:szCs w:val="22"/>
          <w:lang w:eastAsia="ko-KR"/>
        </w:rPr>
        <w:t>Quantify noise characteristics relative to conventional detector channels</w:t>
      </w:r>
    </w:p>
    <w:p w14:paraId="43B76E55" w14:textId="46683F75" w:rsidR="00B43498" w:rsidRPr="00421F76" w:rsidRDefault="00B43498" w:rsidP="00B43498">
      <w:pPr>
        <w:rPr>
          <w:rFonts w:ascii="Calibri" w:hAnsi="Calibri" w:cs="Calibri"/>
          <w:sz w:val="22"/>
          <w:szCs w:val="22"/>
          <w:lang w:eastAsia="ko-KR"/>
        </w:rPr>
      </w:pPr>
    </w:p>
    <w:p w14:paraId="25717C5E" w14:textId="0325396C" w:rsidR="00B43498" w:rsidRPr="00421F76" w:rsidRDefault="00B43498" w:rsidP="00B43498">
      <w:pPr>
        <w:rPr>
          <w:rFonts w:ascii="Calibri" w:hAnsi="Calibri" w:cs="Calibri"/>
          <w:sz w:val="22"/>
          <w:szCs w:val="22"/>
          <w:lang w:eastAsia="ko-KR"/>
        </w:rPr>
      </w:pPr>
      <w:r w:rsidRPr="00421F76">
        <w:rPr>
          <w:rFonts w:ascii="Calibri" w:hAnsi="Calibri" w:cs="Calibri"/>
          <w:b/>
          <w:bCs/>
          <w:sz w:val="22"/>
          <w:szCs w:val="22"/>
          <w:lang w:eastAsia="ko-KR"/>
        </w:rPr>
        <w:t xml:space="preserve">Objective </w:t>
      </w:r>
      <w:r w:rsidR="00E601C3" w:rsidRPr="00421F76">
        <w:rPr>
          <w:rFonts w:ascii="Calibri" w:hAnsi="Calibri" w:cs="Calibri" w:hint="eastAsia"/>
          <w:b/>
          <w:bCs/>
          <w:sz w:val="22"/>
          <w:szCs w:val="22"/>
          <w:lang w:eastAsia="ko-KR"/>
        </w:rPr>
        <w:t>2</w:t>
      </w:r>
      <w:r w:rsidRPr="00421F76">
        <w:rPr>
          <w:rFonts w:ascii="Calibri" w:hAnsi="Calibri" w:cs="Calibri"/>
          <w:b/>
          <w:bCs/>
          <w:sz w:val="22"/>
          <w:szCs w:val="22"/>
          <w:lang w:eastAsia="ko-KR"/>
        </w:rPr>
        <w:t xml:space="preserve"> — Link Cherenkov intensity to total energy deposition</w:t>
      </w:r>
      <w:r w:rsidRPr="00421F76">
        <w:rPr>
          <w:rFonts w:ascii="Calibri" w:hAnsi="Calibri" w:cs="Calibri" w:hint="eastAsia"/>
          <w:sz w:val="22"/>
          <w:szCs w:val="22"/>
          <w:lang w:eastAsia="ko-KR"/>
        </w:rPr>
        <w:t>:</w:t>
      </w:r>
    </w:p>
    <w:p w14:paraId="0DBCF09A" w14:textId="4B6C421F" w:rsidR="00B43498" w:rsidRPr="00421F76" w:rsidRDefault="00B43498" w:rsidP="00B43498">
      <w:pPr>
        <w:rPr>
          <w:rFonts w:ascii="Calibri" w:hAnsi="Calibri" w:cs="Calibri"/>
          <w:sz w:val="22"/>
          <w:szCs w:val="22"/>
          <w:lang w:eastAsia="ko-KR"/>
        </w:rPr>
      </w:pPr>
      <w:r w:rsidRPr="00421F76">
        <w:rPr>
          <w:rFonts w:ascii="Calibri" w:hAnsi="Calibri" w:cs="Calibri"/>
          <w:sz w:val="22"/>
          <w:szCs w:val="22"/>
          <w:lang w:eastAsia="ko-KR"/>
        </w:rPr>
        <w:t>Evaluate Cherenkov-based power monitoring as a global, energy-grounded observable beyond neutron-count calibration.</w:t>
      </w:r>
    </w:p>
    <w:p w14:paraId="2466FE3E" w14:textId="5ACAC7C1" w:rsidR="00B43498" w:rsidRPr="00421F76" w:rsidRDefault="00B43498" w:rsidP="00E601C3">
      <w:pPr>
        <w:numPr>
          <w:ilvl w:val="0"/>
          <w:numId w:val="8"/>
        </w:numPr>
        <w:jc w:val="both"/>
        <w:rPr>
          <w:rFonts w:ascii="Calibri" w:hAnsi="Calibri" w:cs="Calibri"/>
          <w:sz w:val="22"/>
          <w:szCs w:val="22"/>
          <w:lang w:eastAsia="ko-KR"/>
        </w:rPr>
      </w:pPr>
      <w:r w:rsidRPr="00421F76">
        <w:rPr>
          <w:rFonts w:ascii="Calibri" w:hAnsi="Calibri" w:cs="Calibri"/>
          <w:sz w:val="22"/>
          <w:szCs w:val="22"/>
          <w:lang w:eastAsia="ko-KR"/>
        </w:rPr>
        <w:t>Quantify the relationship between Cherenkov intensity and total energy deposition (gamma-induced electrons and radiative heating)</w:t>
      </w:r>
    </w:p>
    <w:p w14:paraId="1E345024" w14:textId="37912A5E" w:rsidR="00B43498" w:rsidRPr="00421F76" w:rsidRDefault="00B43498" w:rsidP="00E601C3">
      <w:pPr>
        <w:numPr>
          <w:ilvl w:val="0"/>
          <w:numId w:val="8"/>
        </w:numPr>
        <w:jc w:val="both"/>
        <w:rPr>
          <w:rFonts w:ascii="Calibri" w:hAnsi="Calibri" w:cs="Calibri"/>
          <w:sz w:val="22"/>
          <w:szCs w:val="22"/>
          <w:lang w:eastAsia="ko-KR"/>
        </w:rPr>
      </w:pPr>
      <w:r w:rsidRPr="00421F76">
        <w:rPr>
          <w:rFonts w:ascii="Calibri" w:hAnsi="Calibri" w:cs="Calibri"/>
          <w:sz w:val="22"/>
          <w:szCs w:val="22"/>
          <w:lang w:eastAsia="ko-KR"/>
        </w:rPr>
        <w:t>Compare Cherenkov-derived power against neutron-based detector readings under flux-tilt and asymmetric conditions</w:t>
      </w:r>
    </w:p>
    <w:p w14:paraId="6EE947BE" w14:textId="6AAD9805" w:rsidR="00B43498" w:rsidRPr="00421F76" w:rsidRDefault="00B43498" w:rsidP="00E601C3">
      <w:pPr>
        <w:numPr>
          <w:ilvl w:val="0"/>
          <w:numId w:val="8"/>
        </w:numPr>
        <w:jc w:val="both"/>
        <w:rPr>
          <w:rFonts w:ascii="Calibri" w:hAnsi="Calibri" w:cs="Calibri"/>
          <w:sz w:val="22"/>
          <w:szCs w:val="22"/>
          <w:lang w:eastAsia="ko-KR"/>
        </w:rPr>
      </w:pPr>
      <w:r w:rsidRPr="00421F76">
        <w:rPr>
          <w:rFonts w:ascii="Calibri" w:hAnsi="Calibri" w:cs="Calibri"/>
          <w:sz w:val="22"/>
          <w:szCs w:val="22"/>
          <w:lang w:eastAsia="ko-KR"/>
        </w:rPr>
        <w:t>Assess whether Cherenkov signals provide a closer proxy to true thermal power, particularly at high power and during transient</w:t>
      </w:r>
    </w:p>
    <w:p w14:paraId="37510F8A" w14:textId="77777777" w:rsidR="00B43498" w:rsidRPr="00421F76" w:rsidRDefault="00B43498" w:rsidP="00B43498">
      <w:pPr>
        <w:rPr>
          <w:rFonts w:ascii="Calibri" w:hAnsi="Calibri" w:cs="Calibri"/>
          <w:sz w:val="22"/>
          <w:szCs w:val="22"/>
          <w:lang w:eastAsia="ko-KR"/>
        </w:rPr>
      </w:pPr>
    </w:p>
    <w:p w14:paraId="26B163AB" w14:textId="398966E5" w:rsidR="007C06A2" w:rsidRPr="00421F76" w:rsidRDefault="6A38D438" w:rsidP="6A38D438">
      <w:pPr>
        <w:rPr>
          <w:rFonts w:ascii="Calibri" w:hAnsi="Calibri" w:cs="Calibri"/>
          <w:sz w:val="22"/>
          <w:szCs w:val="22"/>
          <w:lang w:eastAsia="ko-KR"/>
        </w:rPr>
      </w:pPr>
      <w:r w:rsidRPr="00421F76">
        <w:rPr>
          <w:rFonts w:ascii="Calibri" w:eastAsia="Calibri" w:hAnsi="Calibri" w:cs="Calibri"/>
          <w:b/>
          <w:bCs/>
          <w:sz w:val="22"/>
          <w:szCs w:val="22"/>
        </w:rPr>
        <w:t xml:space="preserve">Objective </w:t>
      </w:r>
      <w:r w:rsidR="00E601C3" w:rsidRPr="00421F76">
        <w:rPr>
          <w:rFonts w:ascii="Calibri" w:hAnsi="Calibri" w:cs="Calibri" w:hint="eastAsia"/>
          <w:b/>
          <w:bCs/>
          <w:sz w:val="22"/>
          <w:szCs w:val="22"/>
          <w:lang w:eastAsia="ko-KR"/>
        </w:rPr>
        <w:t>3</w:t>
      </w:r>
      <w:r w:rsidRPr="00421F76">
        <w:rPr>
          <w:rFonts w:ascii="Calibri" w:eastAsia="Calibri" w:hAnsi="Calibri" w:cs="Calibri"/>
          <w:b/>
          <w:bCs/>
          <w:sz w:val="22"/>
          <w:szCs w:val="22"/>
        </w:rPr>
        <w:t xml:space="preserve"> — </w:t>
      </w:r>
      <w:r w:rsidR="007C06A2" w:rsidRPr="00421F76">
        <w:rPr>
          <w:rFonts w:ascii="Calibri" w:hAnsi="Calibri" w:cs="Calibri" w:hint="eastAsia"/>
          <w:b/>
          <w:bCs/>
          <w:sz w:val="22"/>
          <w:szCs w:val="22"/>
          <w:lang w:eastAsia="ko-KR"/>
        </w:rPr>
        <w:t>Reconstruct and validate flux distribution</w:t>
      </w:r>
      <w:r w:rsidR="007C06A2" w:rsidRPr="00421F76">
        <w:rPr>
          <w:rFonts w:ascii="Calibri" w:hAnsi="Calibri" w:cs="Calibri" w:hint="eastAsia"/>
          <w:sz w:val="22"/>
          <w:szCs w:val="22"/>
          <w:lang w:eastAsia="ko-KR"/>
        </w:rPr>
        <w:t>:</w:t>
      </w:r>
    </w:p>
    <w:p w14:paraId="7798D2E9" w14:textId="5DC9EDB7" w:rsidR="007C06A2" w:rsidRPr="00421F76" w:rsidRDefault="007C06A2" w:rsidP="00E601C3">
      <w:pPr>
        <w:rPr>
          <w:rFonts w:ascii="Calibri" w:hAnsi="Calibri" w:cs="Calibri"/>
          <w:sz w:val="22"/>
          <w:szCs w:val="22"/>
          <w:lang w:eastAsia="ko-KR"/>
        </w:rPr>
      </w:pPr>
      <w:r w:rsidRPr="00421F76">
        <w:rPr>
          <w:rFonts w:ascii="Calibri" w:hAnsi="Calibri" w:cs="Calibri" w:hint="eastAsia"/>
          <w:sz w:val="22"/>
          <w:szCs w:val="22"/>
          <w:lang w:eastAsia="ko-KR"/>
        </w:rPr>
        <w:t xml:space="preserve">Extend the optical framework beyond scalar power estimation to infer </w:t>
      </w:r>
      <w:r w:rsidRPr="00421F76">
        <w:rPr>
          <w:rFonts w:ascii="Calibri" w:hAnsi="Calibri" w:cs="Calibri" w:hint="eastAsia"/>
          <w:b/>
          <w:bCs/>
          <w:sz w:val="22"/>
          <w:szCs w:val="22"/>
          <w:lang w:eastAsia="ko-KR"/>
        </w:rPr>
        <w:t>spatial flux distribution</w:t>
      </w:r>
      <w:r w:rsidR="6A38D438" w:rsidRPr="00421F76">
        <w:rPr>
          <w:rFonts w:ascii="Calibri" w:eastAsia="Calibri" w:hAnsi="Calibri" w:cs="Calibri"/>
          <w:sz w:val="22"/>
          <w:szCs w:val="22"/>
        </w:rPr>
        <w:t>.</w:t>
      </w:r>
    </w:p>
    <w:p w14:paraId="60F05FE3" w14:textId="77777777" w:rsidR="007C06A2" w:rsidRPr="00421F76" w:rsidRDefault="007C06A2" w:rsidP="00E601C3">
      <w:pPr>
        <w:pStyle w:val="ListParagraph"/>
        <w:numPr>
          <w:ilvl w:val="0"/>
          <w:numId w:val="8"/>
        </w:numPr>
        <w:rPr>
          <w:sz w:val="22"/>
          <w:szCs w:val="22"/>
        </w:rPr>
      </w:pPr>
      <w:r w:rsidRPr="00421F76">
        <w:rPr>
          <w:sz w:val="22"/>
          <w:szCs w:val="22"/>
        </w:rPr>
        <w:t>Utilize multi-camera configurations and image-based features</w:t>
      </w:r>
    </w:p>
    <w:p w14:paraId="009B649B" w14:textId="77777777" w:rsidR="007C06A2" w:rsidRPr="00421F76" w:rsidRDefault="007C06A2" w:rsidP="00E601C3">
      <w:pPr>
        <w:pStyle w:val="ListParagraph"/>
        <w:numPr>
          <w:ilvl w:val="0"/>
          <w:numId w:val="8"/>
        </w:numPr>
        <w:rPr>
          <w:sz w:val="22"/>
          <w:szCs w:val="22"/>
        </w:rPr>
      </w:pPr>
      <w:r w:rsidRPr="00421F76">
        <w:rPr>
          <w:sz w:val="22"/>
          <w:szCs w:val="22"/>
        </w:rPr>
        <w:t>Validate reconstructed flux shapes against simulations and available instrumentation</w:t>
      </w:r>
    </w:p>
    <w:p w14:paraId="5BE3535A" w14:textId="0E7DF280" w:rsidR="6A38D438" w:rsidRPr="00421F76" w:rsidRDefault="007C06A2" w:rsidP="00E601C3">
      <w:pPr>
        <w:pStyle w:val="ListParagraph"/>
        <w:numPr>
          <w:ilvl w:val="0"/>
          <w:numId w:val="8"/>
        </w:numPr>
        <w:rPr>
          <w:sz w:val="22"/>
          <w:szCs w:val="22"/>
        </w:rPr>
      </w:pPr>
      <w:r w:rsidRPr="00421F76">
        <w:rPr>
          <w:sz w:val="22"/>
          <w:szCs w:val="22"/>
        </w:rPr>
        <w:t>Assess sensitivity to control rod asymmetry and transient conditions</w:t>
      </w:r>
      <w:r w:rsidR="6A38D438" w:rsidRPr="00421F76">
        <w:rPr>
          <w:sz w:val="22"/>
          <w:szCs w:val="22"/>
        </w:rPr>
        <w:br/>
      </w:r>
      <w:r w:rsidR="6A38D438" w:rsidRPr="00421F76">
        <w:rPr>
          <w:rFonts w:ascii="Calibri" w:eastAsia="Calibri" w:hAnsi="Calibri" w:cs="Calibri"/>
          <w:sz w:val="22"/>
          <w:szCs w:val="22"/>
        </w:rPr>
        <w:t xml:space="preserve"> </w:t>
      </w:r>
    </w:p>
    <w:p w14:paraId="0E30405E" w14:textId="310FAD1C" w:rsidR="00E601C3" w:rsidRPr="00421F76" w:rsidRDefault="6A38D438" w:rsidP="00E601C3">
      <w:pPr>
        <w:jc w:val="both"/>
        <w:rPr>
          <w:rFonts w:ascii="Calibri" w:hAnsi="Calibri" w:cs="Calibri"/>
          <w:sz w:val="22"/>
          <w:szCs w:val="22"/>
          <w:lang w:eastAsia="ko-KR"/>
        </w:rPr>
      </w:pPr>
      <w:r w:rsidRPr="00421F76">
        <w:rPr>
          <w:rFonts w:ascii="Calibri" w:eastAsia="Calibri" w:hAnsi="Calibri" w:cs="Calibri"/>
          <w:b/>
          <w:bCs/>
          <w:sz w:val="22"/>
          <w:szCs w:val="22"/>
        </w:rPr>
        <w:t xml:space="preserve">Objective </w:t>
      </w:r>
      <w:r w:rsidR="00E601C3" w:rsidRPr="00421F76">
        <w:rPr>
          <w:rFonts w:ascii="Calibri" w:hAnsi="Calibri" w:cs="Calibri" w:hint="eastAsia"/>
          <w:b/>
          <w:bCs/>
          <w:sz w:val="22"/>
          <w:szCs w:val="22"/>
          <w:lang w:eastAsia="ko-KR"/>
        </w:rPr>
        <w:t>4</w:t>
      </w:r>
      <w:r w:rsidRPr="00421F76">
        <w:rPr>
          <w:rFonts w:ascii="Calibri" w:eastAsia="Calibri" w:hAnsi="Calibri" w:cs="Calibri"/>
          <w:b/>
          <w:bCs/>
          <w:sz w:val="22"/>
          <w:szCs w:val="22"/>
        </w:rPr>
        <w:t xml:space="preserve"> — </w:t>
      </w:r>
      <w:r w:rsidR="007C06A2" w:rsidRPr="00421F76">
        <w:rPr>
          <w:rFonts w:ascii="Calibri" w:hAnsi="Calibri" w:cs="Calibri" w:hint="eastAsia"/>
          <w:b/>
          <w:bCs/>
          <w:sz w:val="22"/>
          <w:szCs w:val="22"/>
          <w:lang w:eastAsia="ko-KR"/>
        </w:rPr>
        <w:t>Cross-reactor testing and validation</w:t>
      </w:r>
      <w:r w:rsidR="007C06A2" w:rsidRPr="00421F76">
        <w:rPr>
          <w:rFonts w:ascii="Calibri" w:hAnsi="Calibri" w:cs="Calibri" w:hint="eastAsia"/>
          <w:sz w:val="22"/>
          <w:szCs w:val="22"/>
          <w:lang w:eastAsia="ko-KR"/>
        </w:rPr>
        <w:t>:</w:t>
      </w:r>
    </w:p>
    <w:p w14:paraId="7C4010BF" w14:textId="74201771" w:rsidR="007C06A2" w:rsidRPr="00421F76" w:rsidRDefault="007C06A2" w:rsidP="00E601C3">
      <w:pPr>
        <w:jc w:val="both"/>
        <w:rPr>
          <w:rFonts w:ascii="Calibri" w:hAnsi="Calibri" w:cs="Calibri"/>
          <w:sz w:val="22"/>
          <w:szCs w:val="22"/>
          <w:lang w:eastAsia="ko-KR"/>
        </w:rPr>
      </w:pPr>
      <w:r w:rsidRPr="00421F76">
        <w:rPr>
          <w:rFonts w:ascii="Calibri" w:eastAsia="Calibri" w:hAnsi="Calibri" w:cs="Calibri"/>
          <w:sz w:val="22"/>
          <w:szCs w:val="22"/>
        </w:rPr>
        <w:t xml:space="preserve">Demonstrate generality and scalability by applying the Cherenkov-based methodology to </w:t>
      </w:r>
      <w:r w:rsidRPr="00421F76">
        <w:rPr>
          <w:rFonts w:ascii="Calibri" w:eastAsia="Calibri" w:hAnsi="Calibri" w:cs="Calibri"/>
          <w:b/>
          <w:bCs/>
          <w:sz w:val="22"/>
          <w:szCs w:val="22"/>
        </w:rPr>
        <w:t>other research reactors and selected commercial reactor configurations</w:t>
      </w:r>
      <w:r w:rsidRPr="00421F76">
        <w:rPr>
          <w:rFonts w:ascii="Calibri" w:eastAsia="Calibri" w:hAnsi="Calibri" w:cs="Calibri"/>
          <w:sz w:val="22"/>
          <w:szCs w:val="22"/>
        </w:rPr>
        <w:t>.</w:t>
      </w:r>
    </w:p>
    <w:p w14:paraId="12692015" w14:textId="78264BDF" w:rsidR="007C06A2" w:rsidRPr="00421F76" w:rsidRDefault="007C06A2" w:rsidP="00E601C3">
      <w:pPr>
        <w:pStyle w:val="ListParagraph"/>
        <w:numPr>
          <w:ilvl w:val="0"/>
          <w:numId w:val="9"/>
        </w:numPr>
        <w:jc w:val="both"/>
        <w:rPr>
          <w:sz w:val="22"/>
          <w:szCs w:val="22"/>
        </w:rPr>
      </w:pPr>
      <w:r w:rsidRPr="00421F76">
        <w:rPr>
          <w:sz w:val="22"/>
          <w:szCs w:val="22"/>
        </w:rPr>
        <w:t>Evaluate applicability across different core geometries, pool depths, and operating conditions</w:t>
      </w:r>
    </w:p>
    <w:p w14:paraId="66009174" w14:textId="01ECF773" w:rsidR="007C06A2" w:rsidRPr="00421F76" w:rsidRDefault="007C06A2" w:rsidP="00E601C3">
      <w:pPr>
        <w:pStyle w:val="ListParagraph"/>
        <w:numPr>
          <w:ilvl w:val="0"/>
          <w:numId w:val="9"/>
        </w:numPr>
        <w:jc w:val="both"/>
        <w:rPr>
          <w:sz w:val="22"/>
          <w:szCs w:val="22"/>
        </w:rPr>
      </w:pPr>
      <w:r w:rsidRPr="00421F76">
        <w:rPr>
          <w:sz w:val="22"/>
          <w:szCs w:val="22"/>
        </w:rPr>
        <w:t>Identify reactor classes where Cherenkov-based monitoring provides the greatest value</w:t>
      </w:r>
    </w:p>
    <w:p w14:paraId="3ED90873" w14:textId="4DDCFEDC" w:rsidR="007C06A2" w:rsidRPr="00421F76" w:rsidRDefault="007C06A2" w:rsidP="00E601C3">
      <w:pPr>
        <w:pStyle w:val="ListParagraph"/>
        <w:numPr>
          <w:ilvl w:val="0"/>
          <w:numId w:val="9"/>
        </w:numPr>
        <w:jc w:val="both"/>
        <w:rPr>
          <w:sz w:val="22"/>
          <w:szCs w:val="22"/>
        </w:rPr>
      </w:pPr>
      <w:r w:rsidRPr="00421F76">
        <w:rPr>
          <w:sz w:val="22"/>
          <w:szCs w:val="22"/>
        </w:rPr>
        <w:t>Establish transferability and limitations of the approach</w:t>
      </w:r>
    </w:p>
    <w:p w14:paraId="5D0F28B5" w14:textId="77777777" w:rsidR="00E04BBF" w:rsidRDefault="00E04BBF">
      <w:pPr>
        <w:rPr>
          <w:rFonts w:ascii="Calibri" w:hAnsi="Calibri" w:cs="Calibri"/>
          <w:b/>
          <w:bCs/>
          <w:u w:val="single"/>
          <w:lang w:eastAsia="ko-KR"/>
        </w:rPr>
      </w:pPr>
    </w:p>
    <w:p w14:paraId="6704DECF" w14:textId="2D2E1CAF" w:rsidR="00602971" w:rsidRPr="00602971" w:rsidRDefault="00602971">
      <w:pPr>
        <w:rPr>
          <w:rFonts w:ascii="Calibri" w:hAnsi="Calibri" w:cs="Calibri"/>
          <w:b/>
          <w:bCs/>
          <w:u w:val="single"/>
          <w:lang w:eastAsia="ko-KR"/>
        </w:rPr>
      </w:pPr>
      <w:r w:rsidRPr="00602971">
        <w:rPr>
          <w:rFonts w:ascii="Calibri" w:hAnsi="Calibri" w:cs="Calibri" w:hint="eastAsia"/>
          <w:b/>
          <w:bCs/>
          <w:u w:val="single"/>
          <w:lang w:eastAsia="ko-KR"/>
        </w:rPr>
        <w:t>Anticipated Benefits</w:t>
      </w:r>
    </w:p>
    <w:p w14:paraId="1EAD4A4F" w14:textId="77777777" w:rsidR="00602971" w:rsidRDefault="00602971">
      <w:pPr>
        <w:rPr>
          <w:rFonts w:ascii="Calibri" w:hAnsi="Calibri" w:cs="Calibri"/>
          <w:u w:val="single"/>
          <w:lang w:eastAsia="ko-KR"/>
        </w:rPr>
      </w:pPr>
    </w:p>
    <w:p w14:paraId="1361815B" w14:textId="77777777" w:rsidR="00E972EC" w:rsidRPr="00421F76" w:rsidRDefault="00E972EC" w:rsidP="008E6C25">
      <w:pPr>
        <w:jc w:val="both"/>
        <w:rPr>
          <w:rFonts w:ascii="Calibri" w:hAnsi="Calibri" w:cs="Calibri"/>
          <w:sz w:val="22"/>
          <w:szCs w:val="22"/>
          <w:lang w:eastAsia="ko-KR"/>
        </w:rPr>
      </w:pPr>
      <w:r w:rsidRPr="00421F76">
        <w:rPr>
          <w:rFonts w:ascii="Calibri" w:hAnsi="Calibri" w:cs="Calibri"/>
          <w:sz w:val="22"/>
          <w:szCs w:val="22"/>
          <w:lang w:eastAsia="ko-KR"/>
        </w:rPr>
        <w:t>If successful, this project will deliver a disruptive paradigm for reactor monitoring that addresses the economic and technical bottlenecks of current nuclear instrumentation:</w:t>
      </w:r>
    </w:p>
    <w:p w14:paraId="1EAC45E5" w14:textId="77777777" w:rsidR="00E972EC" w:rsidRPr="00421F76" w:rsidRDefault="00E972EC" w:rsidP="00E972EC">
      <w:pPr>
        <w:numPr>
          <w:ilvl w:val="0"/>
          <w:numId w:val="10"/>
        </w:numPr>
        <w:tabs>
          <w:tab w:val="num" w:pos="720"/>
        </w:tabs>
        <w:jc w:val="both"/>
        <w:rPr>
          <w:rFonts w:ascii="Calibri" w:hAnsi="Calibri" w:cs="Calibri"/>
          <w:sz w:val="22"/>
          <w:szCs w:val="22"/>
          <w:lang w:eastAsia="ko-KR"/>
        </w:rPr>
      </w:pPr>
      <w:r w:rsidRPr="00421F76">
        <w:rPr>
          <w:rFonts w:ascii="Calibri" w:hAnsi="Calibri" w:cs="Calibri"/>
          <w:b/>
          <w:bCs/>
          <w:sz w:val="22"/>
          <w:szCs w:val="22"/>
          <w:lang w:eastAsia="ko-KR"/>
        </w:rPr>
        <w:t>Dramatic Cost Reduction and Accessibility:</w:t>
      </w:r>
      <w:r w:rsidRPr="00421F76">
        <w:rPr>
          <w:rFonts w:ascii="Calibri" w:hAnsi="Calibri" w:cs="Calibri"/>
          <w:sz w:val="22"/>
          <w:szCs w:val="22"/>
          <w:lang w:eastAsia="ko-KR"/>
        </w:rPr>
        <w:t xml:space="preserve"> By shifting from specialized nuclear detectors costing tens of thousands of dollars to commercial action cameras and mounting hardware totaling approximately $400 to $700, this technology lowers the barrier for comprehensive monitoring. This allows even small-scale research facilities to implement high-level redundancy.</w:t>
      </w:r>
    </w:p>
    <w:p w14:paraId="520220C1" w14:textId="7135FA18" w:rsidR="00E972EC" w:rsidRPr="00421F76" w:rsidRDefault="00E972EC" w:rsidP="00E972EC">
      <w:pPr>
        <w:numPr>
          <w:ilvl w:val="0"/>
          <w:numId w:val="10"/>
        </w:numPr>
        <w:tabs>
          <w:tab w:val="num" w:pos="720"/>
        </w:tabs>
        <w:jc w:val="both"/>
        <w:rPr>
          <w:rFonts w:ascii="Calibri" w:hAnsi="Calibri" w:cs="Calibri"/>
          <w:sz w:val="22"/>
          <w:szCs w:val="22"/>
          <w:lang w:eastAsia="ko-KR"/>
        </w:rPr>
      </w:pPr>
      <w:r w:rsidRPr="00421F76">
        <w:rPr>
          <w:rFonts w:ascii="Calibri" w:hAnsi="Calibri" w:cs="Calibri"/>
          <w:b/>
          <w:bCs/>
          <w:sz w:val="22"/>
          <w:szCs w:val="22"/>
          <w:lang w:eastAsia="ko-KR"/>
        </w:rPr>
        <w:t>Enhanced Operational Stability and Noise Mitigation:</w:t>
      </w:r>
      <w:r w:rsidRPr="00421F76">
        <w:rPr>
          <w:rFonts w:ascii="Calibri" w:hAnsi="Calibri" w:cs="Calibri"/>
          <w:sz w:val="22"/>
          <w:szCs w:val="22"/>
          <w:lang w:eastAsia="ko-KR"/>
        </w:rPr>
        <w:t xml:space="preserve"> Conventional detectors exhibit elevated noise at high power, which frequently triggers spurious scrams. Optical signals have demonstrated </w:t>
      </w:r>
      <w:r w:rsidRPr="00421F76">
        <w:rPr>
          <w:rFonts w:ascii="Calibri" w:hAnsi="Calibri" w:cs="Calibri"/>
          <w:b/>
          <w:bCs/>
          <w:sz w:val="22"/>
          <w:szCs w:val="22"/>
          <w:lang w:eastAsia="ko-KR"/>
        </w:rPr>
        <w:lastRenderedPageBreak/>
        <w:t>substantially lower noise levels above 300 kW</w:t>
      </w:r>
      <w:r w:rsidRPr="00421F76">
        <w:rPr>
          <w:rFonts w:ascii="Calibri" w:hAnsi="Calibri" w:cs="Calibri"/>
          <w:sz w:val="22"/>
          <w:szCs w:val="22"/>
          <w:lang w:eastAsia="ko-KR"/>
        </w:rPr>
        <w:t>, allowing reactors to operate closer to their licensed limits without the risk of unnecessary shutdowns.</w:t>
      </w:r>
    </w:p>
    <w:p w14:paraId="36AF7FA7" w14:textId="6781699F" w:rsidR="00E972EC" w:rsidRPr="00421F76" w:rsidRDefault="00E972EC" w:rsidP="00E972EC">
      <w:pPr>
        <w:numPr>
          <w:ilvl w:val="0"/>
          <w:numId w:val="10"/>
        </w:numPr>
        <w:tabs>
          <w:tab w:val="num" w:pos="720"/>
        </w:tabs>
        <w:jc w:val="both"/>
        <w:rPr>
          <w:rFonts w:ascii="Calibri" w:hAnsi="Calibri" w:cs="Calibri"/>
          <w:sz w:val="22"/>
          <w:szCs w:val="22"/>
          <w:lang w:eastAsia="ko-KR"/>
        </w:rPr>
      </w:pPr>
      <w:r w:rsidRPr="00421F76">
        <w:rPr>
          <w:rFonts w:ascii="Calibri" w:hAnsi="Calibri" w:cs="Calibri"/>
          <w:b/>
          <w:bCs/>
          <w:sz w:val="22"/>
          <w:szCs w:val="22"/>
          <w:lang w:eastAsia="ko-KR"/>
        </w:rPr>
        <w:t>Robustness Against Spatial Asymmetries:</w:t>
      </w:r>
      <w:r w:rsidRPr="00421F76">
        <w:rPr>
          <w:rFonts w:ascii="Calibri" w:hAnsi="Calibri" w:cs="Calibri"/>
          <w:sz w:val="22"/>
          <w:szCs w:val="22"/>
          <w:lang w:eastAsia="ko-KR"/>
        </w:rPr>
        <w:t xml:space="preserve"> Unlike point-wise detectors</w:t>
      </w:r>
      <w:r w:rsidR="008E6C25" w:rsidRPr="00421F76">
        <w:rPr>
          <w:rFonts w:ascii="Calibri" w:hAnsi="Calibri" w:cs="Calibri" w:hint="eastAsia"/>
          <w:sz w:val="22"/>
          <w:szCs w:val="22"/>
          <w:lang w:eastAsia="ko-KR"/>
        </w:rPr>
        <w:t xml:space="preserve"> </w:t>
      </w:r>
      <w:r w:rsidRPr="00421F76">
        <w:rPr>
          <w:rFonts w:ascii="Calibri" w:hAnsi="Calibri" w:cs="Calibri"/>
          <w:sz w:val="22"/>
          <w:szCs w:val="22"/>
          <w:lang w:eastAsia="ko-KR"/>
        </w:rPr>
        <w:t>that are blinded by local flux tilts during asymmetric rod movements, the camera captures the spatially integrated Cherenkov intensity from the entire core region. This provides a representative indication of actual reactor power regardless of internal flux distortions.</w:t>
      </w:r>
    </w:p>
    <w:p w14:paraId="05C106F5" w14:textId="77777777" w:rsidR="00E972EC" w:rsidRPr="00421F76" w:rsidRDefault="00E972EC" w:rsidP="00E972EC">
      <w:pPr>
        <w:numPr>
          <w:ilvl w:val="0"/>
          <w:numId w:val="10"/>
        </w:numPr>
        <w:tabs>
          <w:tab w:val="num" w:pos="720"/>
        </w:tabs>
        <w:jc w:val="both"/>
        <w:rPr>
          <w:rFonts w:ascii="Calibri" w:hAnsi="Calibri" w:cs="Calibri"/>
          <w:sz w:val="22"/>
          <w:szCs w:val="22"/>
          <w:lang w:eastAsia="ko-KR"/>
        </w:rPr>
      </w:pPr>
      <w:r w:rsidRPr="00421F76">
        <w:rPr>
          <w:rFonts w:ascii="Calibri" w:hAnsi="Calibri" w:cs="Calibri"/>
          <w:b/>
          <w:bCs/>
          <w:sz w:val="22"/>
          <w:szCs w:val="22"/>
          <w:lang w:eastAsia="ko-KR"/>
        </w:rPr>
        <w:t>High-Temporal Resolution for Transient Analysis:</w:t>
      </w:r>
      <w:r w:rsidRPr="00421F76">
        <w:rPr>
          <w:rFonts w:ascii="Calibri" w:hAnsi="Calibri" w:cs="Calibri"/>
          <w:sz w:val="22"/>
          <w:szCs w:val="22"/>
          <w:lang w:eastAsia="ko-KR"/>
        </w:rPr>
        <w:t xml:space="preserve"> While standard detector channels provide data at roughly 5 Hz, commercial-grade cameras can record at up to 120 fps. This 24-fold increase in temporal resolution enables the capture of rapid transients and pulse-mode behavior with unprecedented granularity.</w:t>
      </w:r>
    </w:p>
    <w:p w14:paraId="59349DF3" w14:textId="77777777" w:rsidR="00E972EC" w:rsidRPr="00421F76" w:rsidRDefault="00E972EC" w:rsidP="00E972EC">
      <w:pPr>
        <w:numPr>
          <w:ilvl w:val="0"/>
          <w:numId w:val="10"/>
        </w:numPr>
        <w:tabs>
          <w:tab w:val="num" w:pos="720"/>
        </w:tabs>
        <w:jc w:val="both"/>
        <w:rPr>
          <w:rFonts w:ascii="Calibri" w:hAnsi="Calibri" w:cs="Calibri"/>
          <w:sz w:val="22"/>
          <w:szCs w:val="22"/>
          <w:lang w:eastAsia="ko-KR"/>
        </w:rPr>
      </w:pPr>
      <w:r w:rsidRPr="00421F76">
        <w:rPr>
          <w:rFonts w:ascii="Calibri" w:hAnsi="Calibri" w:cs="Calibri"/>
          <w:b/>
          <w:bCs/>
          <w:sz w:val="22"/>
          <w:szCs w:val="22"/>
          <w:lang w:eastAsia="ko-KR"/>
        </w:rPr>
        <w:t>Non-Intrusive Integration for Digital Twins:</w:t>
      </w:r>
      <w:r w:rsidRPr="00421F76">
        <w:rPr>
          <w:rFonts w:ascii="Calibri" w:hAnsi="Calibri" w:cs="Calibri"/>
          <w:sz w:val="22"/>
          <w:szCs w:val="22"/>
          <w:lang w:eastAsia="ko-KR"/>
        </w:rPr>
        <w:t xml:space="preserve"> The system is completely non-intrusive, utilizing approximately 7 meters of water shielding to protect electronics from radiation degradation. This makes it an ideal data source for Digital Twins, providing a resilient, data-rich observational layer for real-time state estimation and anomaly detection.</w:t>
      </w:r>
    </w:p>
    <w:p w14:paraId="51002B15" w14:textId="77777777" w:rsidR="00602971" w:rsidRDefault="00602971">
      <w:pPr>
        <w:rPr>
          <w:rFonts w:ascii="Calibri" w:hAnsi="Calibri" w:cs="Calibri"/>
          <w:u w:val="single"/>
          <w:lang w:eastAsia="ko-KR"/>
        </w:rPr>
      </w:pPr>
    </w:p>
    <w:p w14:paraId="1CDFFC52" w14:textId="45A2D0B0" w:rsidR="00602971" w:rsidRPr="00602971" w:rsidRDefault="00E972EC">
      <w:pPr>
        <w:rPr>
          <w:rFonts w:ascii="Calibri" w:hAnsi="Calibri" w:cs="Calibri"/>
          <w:b/>
          <w:bCs/>
          <w:u w:val="single"/>
          <w:lang w:eastAsia="ko-KR"/>
        </w:rPr>
      </w:pPr>
      <w:r>
        <w:rPr>
          <w:rFonts w:ascii="Calibri" w:hAnsi="Calibri" w:cs="Calibri" w:hint="eastAsia"/>
          <w:b/>
          <w:bCs/>
          <w:u w:val="single"/>
          <w:lang w:eastAsia="ko-KR"/>
        </w:rPr>
        <w:t>Work Plan</w:t>
      </w:r>
    </w:p>
    <w:p w14:paraId="2E6481A0" w14:textId="77777777" w:rsidR="00602971" w:rsidRDefault="00602971">
      <w:pPr>
        <w:rPr>
          <w:rFonts w:ascii="Calibri" w:hAnsi="Calibri" w:cs="Calibri"/>
          <w:u w:val="single"/>
          <w:lang w:eastAsia="ko-KR"/>
        </w:rPr>
      </w:pPr>
    </w:p>
    <w:p w14:paraId="1C100B46" w14:textId="5999ECC0" w:rsidR="00E972EC" w:rsidRPr="00421F76" w:rsidRDefault="00E972EC" w:rsidP="00E972EC">
      <w:pPr>
        <w:rPr>
          <w:rFonts w:ascii="Calibri" w:hAnsi="Calibri" w:cs="Calibri"/>
          <w:sz w:val="22"/>
          <w:szCs w:val="22"/>
          <w:lang w:eastAsia="ko-KR"/>
        </w:rPr>
      </w:pPr>
      <w:r w:rsidRPr="00421F76">
        <w:rPr>
          <w:rFonts w:ascii="Calibri" w:hAnsi="Calibri" w:cs="Calibri" w:hint="eastAsia"/>
          <w:b/>
          <w:bCs/>
          <w:sz w:val="22"/>
          <w:szCs w:val="22"/>
          <w:lang w:eastAsia="ko-KR"/>
        </w:rPr>
        <w:t>T</w:t>
      </w:r>
      <w:r w:rsidRPr="00421F76">
        <w:rPr>
          <w:rFonts w:ascii="Calibri" w:hAnsi="Calibri" w:cs="Calibri"/>
          <w:b/>
          <w:bCs/>
          <w:sz w:val="22"/>
          <w:szCs w:val="22"/>
          <w:lang w:eastAsia="ko-KR"/>
        </w:rPr>
        <w:t>ask 1 — Experimental Benchmarking and High-Fidelity Data Acquisition</w:t>
      </w:r>
    </w:p>
    <w:p w14:paraId="2E8D3959" w14:textId="77777777" w:rsidR="00E972EC" w:rsidRPr="00421F76" w:rsidRDefault="00E972EC" w:rsidP="00E972EC">
      <w:pPr>
        <w:numPr>
          <w:ilvl w:val="0"/>
          <w:numId w:val="11"/>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Establish a comprehensive experimental matrix at the NETL TRIGA reactor spanning various control rod configurations (banked vs. intentionally asymmetric) and power levels up to 1.1 MW.</w:t>
      </w:r>
    </w:p>
    <w:p w14:paraId="7ADDD8A8" w14:textId="77777777" w:rsidR="00E972EC" w:rsidRPr="00421F76" w:rsidRDefault="00E972EC" w:rsidP="00E972EC">
      <w:pPr>
        <w:numPr>
          <w:ilvl w:val="0"/>
          <w:numId w:val="11"/>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Deploy the GoPro HERO13 system in Professional Mode with fixed ISO and bitrate settings to ensure stable, reproducible optical measurements.</w:t>
      </w:r>
    </w:p>
    <w:p w14:paraId="2BCD9041" w14:textId="77777777" w:rsidR="00E972EC" w:rsidRPr="00421F76" w:rsidRDefault="00E972EC" w:rsidP="00E972EC">
      <w:pPr>
        <w:numPr>
          <w:ilvl w:val="0"/>
          <w:numId w:val="11"/>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Utilize TACC repository synchronization to manage large-scale video and console log datasets for collaborative analysis.</w:t>
      </w:r>
    </w:p>
    <w:p w14:paraId="2BA75114" w14:textId="77777777" w:rsidR="00E972EC" w:rsidRPr="00421F76" w:rsidRDefault="00E972EC" w:rsidP="00E972EC">
      <w:pPr>
        <w:jc w:val="both"/>
        <w:rPr>
          <w:rFonts w:ascii="Calibri" w:hAnsi="Calibri" w:cs="Calibri"/>
          <w:sz w:val="22"/>
          <w:szCs w:val="22"/>
          <w:lang w:eastAsia="ko-KR"/>
        </w:rPr>
      </w:pPr>
    </w:p>
    <w:p w14:paraId="0823E4C2" w14:textId="77777777" w:rsidR="00E972EC" w:rsidRPr="00421F76" w:rsidRDefault="00E972EC" w:rsidP="00E972EC">
      <w:pPr>
        <w:rPr>
          <w:rFonts w:ascii="Calibri" w:hAnsi="Calibri" w:cs="Calibri"/>
          <w:sz w:val="22"/>
          <w:szCs w:val="22"/>
          <w:lang w:eastAsia="ko-KR"/>
        </w:rPr>
      </w:pPr>
      <w:r w:rsidRPr="00421F76">
        <w:rPr>
          <w:rFonts w:ascii="Calibri" w:hAnsi="Calibri" w:cs="Calibri"/>
          <w:b/>
          <w:bCs/>
          <w:sz w:val="22"/>
          <w:szCs w:val="22"/>
          <w:lang w:eastAsia="ko-KR"/>
        </w:rPr>
        <w:t>Task 2 — Model Optimization and Non-Linear Calibration</w:t>
      </w:r>
    </w:p>
    <w:p w14:paraId="640BA377" w14:textId="280CAFB6" w:rsidR="00E972EC" w:rsidRPr="00421F76" w:rsidRDefault="00E972EC" w:rsidP="00E972EC">
      <w:pPr>
        <w:numPr>
          <w:ilvl w:val="0"/>
          <w:numId w:val="12"/>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Refine the polynomial between blue-channel intensity and reactor power to account for pixel saturation effects at high operating levels.</w:t>
      </w:r>
    </w:p>
    <w:p w14:paraId="2D8B06E4" w14:textId="09BDA34D" w:rsidR="00E972EC" w:rsidRPr="00421F76" w:rsidRDefault="00E972EC" w:rsidP="00E972EC">
      <w:pPr>
        <w:numPr>
          <w:ilvl w:val="0"/>
          <w:numId w:val="12"/>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Conduct quantitative noise comparisons between optical signals and ex-core detectors to identify the crossover point where optical monitoring becomes the superior signal.</w:t>
      </w:r>
    </w:p>
    <w:p w14:paraId="49941991" w14:textId="77777777" w:rsidR="00E972EC" w:rsidRPr="00421F76" w:rsidRDefault="00E972EC" w:rsidP="00E972EC">
      <w:pPr>
        <w:numPr>
          <w:ilvl w:val="0"/>
          <w:numId w:val="12"/>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Develop a data-fusion framework to separate electrical detector noise from genuine core dynamics.</w:t>
      </w:r>
    </w:p>
    <w:p w14:paraId="043A623F" w14:textId="77777777" w:rsidR="00E972EC" w:rsidRPr="00421F76" w:rsidRDefault="00E972EC" w:rsidP="00E972EC">
      <w:pPr>
        <w:jc w:val="both"/>
        <w:rPr>
          <w:rFonts w:ascii="Calibri" w:hAnsi="Calibri" w:cs="Calibri"/>
          <w:sz w:val="22"/>
          <w:szCs w:val="22"/>
          <w:lang w:eastAsia="ko-KR"/>
        </w:rPr>
      </w:pPr>
    </w:p>
    <w:p w14:paraId="51A5A71E" w14:textId="77777777" w:rsidR="00E972EC" w:rsidRPr="00421F76" w:rsidRDefault="00E972EC" w:rsidP="00E972EC">
      <w:pPr>
        <w:rPr>
          <w:rFonts w:ascii="Calibri" w:hAnsi="Calibri" w:cs="Calibri"/>
          <w:sz w:val="22"/>
          <w:szCs w:val="22"/>
          <w:lang w:eastAsia="ko-KR"/>
        </w:rPr>
      </w:pPr>
      <w:r w:rsidRPr="00421F76">
        <w:rPr>
          <w:rFonts w:ascii="Calibri" w:hAnsi="Calibri" w:cs="Calibri"/>
          <w:b/>
          <w:bCs/>
          <w:sz w:val="22"/>
          <w:szCs w:val="22"/>
          <w:lang w:eastAsia="ko-KR"/>
        </w:rPr>
        <w:t>Task 3 — Multi-Camera 3D Flux Reconstruction</w:t>
      </w:r>
    </w:p>
    <w:p w14:paraId="5B0902C3" w14:textId="77777777" w:rsidR="00E972EC" w:rsidRPr="00421F76" w:rsidRDefault="00E972EC" w:rsidP="00E972EC">
      <w:pPr>
        <w:numPr>
          <w:ilvl w:val="0"/>
          <w:numId w:val="13"/>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 xml:space="preserve">Extend the current single-camera framework to a </w:t>
      </w:r>
      <w:r w:rsidRPr="00421F76">
        <w:rPr>
          <w:rFonts w:ascii="Calibri" w:hAnsi="Calibri" w:cs="Calibri"/>
          <w:b/>
          <w:bCs/>
          <w:sz w:val="22"/>
          <w:szCs w:val="22"/>
          <w:lang w:eastAsia="ko-KR"/>
        </w:rPr>
        <w:t>distributed multi-camera configuration</w:t>
      </w:r>
      <w:r w:rsidRPr="00421F76">
        <w:rPr>
          <w:rFonts w:ascii="Calibri" w:hAnsi="Calibri" w:cs="Calibri"/>
          <w:sz w:val="22"/>
          <w:szCs w:val="22"/>
          <w:lang w:eastAsia="ko-KR"/>
        </w:rPr>
        <w:t xml:space="preserve"> to infer two- and three-dimensional spatial flux distributions.</w:t>
      </w:r>
    </w:p>
    <w:p w14:paraId="03BBDD04" w14:textId="1DAC759F" w:rsidR="00E972EC" w:rsidRPr="00421F76" w:rsidRDefault="00E972EC" w:rsidP="004B391A">
      <w:pPr>
        <w:numPr>
          <w:ilvl w:val="0"/>
          <w:numId w:val="13"/>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Validate reconstructed flux shapes against high-fidelity simulations</w:t>
      </w:r>
      <w:r w:rsidR="008E6C25" w:rsidRPr="00421F76">
        <w:rPr>
          <w:rFonts w:ascii="Calibri" w:hAnsi="Calibri" w:cs="Calibri" w:hint="eastAsia"/>
          <w:sz w:val="22"/>
          <w:szCs w:val="22"/>
          <w:lang w:eastAsia="ko-KR"/>
        </w:rPr>
        <w:t>,</w:t>
      </w:r>
      <w:r w:rsidRPr="00421F76">
        <w:rPr>
          <w:rFonts w:ascii="Calibri" w:hAnsi="Calibri" w:cs="Calibri"/>
          <w:sz w:val="22"/>
          <w:szCs w:val="22"/>
          <w:lang w:eastAsia="ko-KR"/>
        </w:rPr>
        <w:t xml:space="preserve"> e.g., </w:t>
      </w:r>
      <w:r w:rsidR="008E6C25" w:rsidRPr="00421F76">
        <w:rPr>
          <w:rFonts w:ascii="Calibri" w:hAnsi="Calibri" w:cs="Calibri" w:hint="eastAsia"/>
          <w:sz w:val="22"/>
          <w:szCs w:val="22"/>
          <w:lang w:eastAsia="ko-KR"/>
        </w:rPr>
        <w:t>MCNP</w:t>
      </w:r>
      <w:r w:rsidR="004B391A" w:rsidRPr="00421F76">
        <w:rPr>
          <w:rFonts w:ascii="Calibri" w:hAnsi="Calibri" w:cs="Calibri" w:hint="eastAsia"/>
          <w:sz w:val="22"/>
          <w:szCs w:val="22"/>
          <w:lang w:eastAsia="ko-KR"/>
        </w:rPr>
        <w:t xml:space="preserve"> </w:t>
      </w:r>
      <w:r w:rsidR="004B391A" w:rsidRPr="00421F76">
        <w:rPr>
          <w:rFonts w:ascii="Calibri" w:hAnsi="Calibri" w:cs="Calibri"/>
          <w:sz w:val="22"/>
          <w:szCs w:val="22"/>
          <w:lang w:eastAsia="ko-KR"/>
        </w:rPr>
        <w:fldChar w:fldCharType="begin"/>
      </w:r>
      <w:r w:rsidR="004B391A" w:rsidRPr="00421F76">
        <w:rPr>
          <w:rFonts w:ascii="Calibri" w:hAnsi="Calibri" w:cs="Calibri"/>
          <w:sz w:val="22"/>
          <w:szCs w:val="22"/>
          <w:lang w:eastAsia="ko-KR"/>
        </w:rPr>
        <w:instrText xml:space="preserve"> ADDIN ZOTERO_ITEM CSL_CITATION {"citationID":"MLnmZAx1","properties":{"unsorted":false,"formattedCitation":"[3]","plainCitation":"[3]","noteIndex":0},"citationItems":[{"id":13,"uris":["http://zotero.org/users/15894036/items/TNE9KBFA"],"itemData":{"id":13,"type":"report","citation-key":"Kulesza2024MCNP","number":"LA-UR-24-24602, Rev. 1","publisher":"Los Alamos National Laboratory","publisher-place":"Los Alamos, NM, USA","title":"MCNP&lt;sup&gt;®&lt;/sup&gt; code version 6.3.1 theory &amp; user manual","author":[{"family":"Kulesza","given":"J. A."},{"family":"Adams","given":"T. R."},{"family":"Armstrong","given":"J. C."},{"family":"Bolding","given":"S. R."},{"family":"Brown","given":"F. B."},{"family":"Bull","given":"J. S."},{"family":"Burke","given":"T. P."},{"family":"Clark","given":"A. R."},{"family":"III","given":"R. A. Forster"},{"family":"Giron","given":"J. F."},{"family":"Grieve","given":"A. S."},{"family":"Josey","given":"C. J."},{"family":"Martz","given":"R. L."},{"family":"McKinney","given":"G. W."},{"family":"Pearson","given":"E. J."},{"family":"Rising","given":"M. E."},{"family":"Jr.","given":"C. J. Solomon"},{"family":"Swaminarayan","given":"S."},{"family":"Trahan","given":"T. J."},{"family":"Weaver","given":"C. A."},{"family":"Wilson","given":"S. C."},{"family":"Zukaitis","given":"A. J."}],"issued":{"date-parts":[["2024",5]]}}}],"schema":"https://github.com/citation-style-language/schema/raw/master/csl-citation.json"} </w:instrText>
      </w:r>
      <w:r w:rsidR="004B391A" w:rsidRPr="00421F76">
        <w:rPr>
          <w:rFonts w:ascii="Calibri" w:hAnsi="Calibri" w:cs="Calibri"/>
          <w:sz w:val="22"/>
          <w:szCs w:val="22"/>
          <w:lang w:eastAsia="ko-KR"/>
        </w:rPr>
        <w:fldChar w:fldCharType="separate"/>
      </w:r>
      <w:r w:rsidR="004B391A" w:rsidRPr="00421F76">
        <w:rPr>
          <w:rFonts w:ascii="Calibri" w:hAnsi="Calibri" w:cs="Calibri"/>
          <w:sz w:val="22"/>
          <w:szCs w:val="22"/>
          <w:lang w:eastAsia="ko-KR"/>
        </w:rPr>
        <w:t>[3]</w:t>
      </w:r>
      <w:r w:rsidR="004B391A" w:rsidRPr="00421F76">
        <w:rPr>
          <w:rFonts w:ascii="Calibri" w:hAnsi="Calibri" w:cs="Calibri"/>
          <w:sz w:val="22"/>
          <w:szCs w:val="22"/>
          <w:lang w:eastAsia="ko-KR"/>
        </w:rPr>
        <w:fldChar w:fldCharType="end"/>
      </w:r>
      <w:r w:rsidR="008E6C25" w:rsidRPr="00421F76">
        <w:rPr>
          <w:rFonts w:ascii="Calibri" w:hAnsi="Calibri" w:cs="Calibri" w:hint="eastAsia"/>
          <w:sz w:val="22"/>
          <w:szCs w:val="22"/>
          <w:lang w:eastAsia="ko-KR"/>
        </w:rPr>
        <w:t xml:space="preserve">, </w:t>
      </w:r>
      <w:r w:rsidRPr="00421F76">
        <w:rPr>
          <w:rFonts w:ascii="Calibri" w:hAnsi="Calibri" w:cs="Calibri"/>
          <w:sz w:val="22"/>
          <w:szCs w:val="22"/>
          <w:lang w:eastAsia="ko-KR"/>
        </w:rPr>
        <w:t>MPACT</w:t>
      </w:r>
      <w:r w:rsidR="004B391A" w:rsidRPr="00421F76">
        <w:rPr>
          <w:rFonts w:ascii="Calibri" w:hAnsi="Calibri" w:cs="Calibri" w:hint="eastAsia"/>
          <w:sz w:val="22"/>
          <w:szCs w:val="22"/>
          <w:lang w:eastAsia="ko-KR"/>
        </w:rPr>
        <w:t xml:space="preserve"> </w:t>
      </w:r>
      <w:r w:rsidR="004B391A" w:rsidRPr="00421F76">
        <w:rPr>
          <w:rFonts w:ascii="Calibri" w:hAnsi="Calibri" w:cs="Calibri"/>
          <w:sz w:val="22"/>
          <w:szCs w:val="22"/>
          <w:lang w:eastAsia="ko-KR"/>
        </w:rPr>
        <w:fldChar w:fldCharType="begin"/>
      </w:r>
      <w:r w:rsidR="004B391A" w:rsidRPr="00421F76">
        <w:rPr>
          <w:rFonts w:ascii="Calibri" w:hAnsi="Calibri" w:cs="Calibri"/>
          <w:sz w:val="22"/>
          <w:szCs w:val="22"/>
          <w:lang w:eastAsia="ko-KR"/>
        </w:rPr>
        <w:instrText xml:space="preserve"> ADDIN ZOTERO_ITEM CSL_CITATION {"citationID":"Lf6Uftam","properties":{"unsorted":false,"formattedCitation":"[4]","plainCitation":"[4]","noteIndex":0},"citationItems":[{"id":12,"uris":["http://zotero.org/users/15894036/items/R6GYJG88"],"itemData":{"id":12,"type":"report","citation-key":"verahistory2016","number":"CASL-U-2016-1094-000","publisher":"Consortium for Advanced Simulation of Light Water Reactors (CASL)","publisher-place":"Oak Ridge, TN","title":"VERA core simulator: MPACT user's manual","author":[{"family":"Kochunas","given":"Brendan K."},{"family":"Collins","given":"Benjamin S."},{"family":"Stimpson","given":"Shane G."},{"family":"Jabaay","given":"Daniel E."},{"literal":"others"}],"issued":{"date-parts":[["2016"]]}}}],"schema":"https://github.com/citation-style-language/schema/raw/master/csl-citation.json"} </w:instrText>
      </w:r>
      <w:r w:rsidR="004B391A" w:rsidRPr="00421F76">
        <w:rPr>
          <w:rFonts w:ascii="Calibri" w:hAnsi="Calibri" w:cs="Calibri"/>
          <w:sz w:val="22"/>
          <w:szCs w:val="22"/>
          <w:lang w:eastAsia="ko-KR"/>
        </w:rPr>
        <w:fldChar w:fldCharType="separate"/>
      </w:r>
      <w:r w:rsidR="004B391A" w:rsidRPr="00421F76">
        <w:rPr>
          <w:rFonts w:ascii="Calibri" w:hAnsi="Calibri" w:cs="Calibri"/>
          <w:sz w:val="22"/>
          <w:szCs w:val="22"/>
          <w:lang w:eastAsia="ko-KR"/>
        </w:rPr>
        <w:t>[4]</w:t>
      </w:r>
      <w:r w:rsidR="004B391A" w:rsidRPr="00421F76">
        <w:rPr>
          <w:rFonts w:ascii="Calibri" w:hAnsi="Calibri" w:cs="Calibri"/>
          <w:sz w:val="22"/>
          <w:szCs w:val="22"/>
          <w:lang w:eastAsia="ko-KR"/>
        </w:rPr>
        <w:fldChar w:fldCharType="end"/>
      </w:r>
      <w:r w:rsidR="008E6C25" w:rsidRPr="00421F76">
        <w:rPr>
          <w:rFonts w:ascii="Calibri" w:hAnsi="Calibri" w:cs="Calibri" w:hint="eastAsia"/>
          <w:sz w:val="22"/>
          <w:szCs w:val="22"/>
          <w:lang w:eastAsia="ko-KR"/>
        </w:rPr>
        <w:t>,</w:t>
      </w:r>
      <w:r w:rsidRPr="00421F76">
        <w:rPr>
          <w:rFonts w:ascii="Calibri" w:hAnsi="Calibri" w:cs="Calibri"/>
          <w:sz w:val="22"/>
          <w:szCs w:val="22"/>
          <w:lang w:eastAsia="ko-KR"/>
        </w:rPr>
        <w:t xml:space="preserve"> and fuel temperature thermocouple readings.</w:t>
      </w:r>
    </w:p>
    <w:p w14:paraId="591AA4B0" w14:textId="77777777" w:rsidR="00E972EC" w:rsidRPr="00421F76" w:rsidRDefault="00E972EC" w:rsidP="00E972EC">
      <w:pPr>
        <w:numPr>
          <w:ilvl w:val="0"/>
          <w:numId w:val="13"/>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Evaluate the sensitivity of image-based features to local perturbations in advanced reactor geometries.</w:t>
      </w:r>
    </w:p>
    <w:p w14:paraId="45138E71" w14:textId="77777777" w:rsidR="00E972EC" w:rsidRPr="00421F76" w:rsidRDefault="00E972EC" w:rsidP="00E972EC">
      <w:pPr>
        <w:jc w:val="both"/>
        <w:rPr>
          <w:rFonts w:ascii="Calibri" w:hAnsi="Calibri" w:cs="Calibri"/>
          <w:sz w:val="22"/>
          <w:szCs w:val="22"/>
          <w:lang w:eastAsia="ko-KR"/>
        </w:rPr>
      </w:pPr>
    </w:p>
    <w:p w14:paraId="6E2CE3A7" w14:textId="77777777" w:rsidR="00E972EC" w:rsidRPr="00421F76" w:rsidRDefault="00E972EC" w:rsidP="00E972EC">
      <w:pPr>
        <w:rPr>
          <w:rFonts w:ascii="Calibri" w:hAnsi="Calibri" w:cs="Calibri"/>
          <w:sz w:val="22"/>
          <w:szCs w:val="22"/>
          <w:lang w:eastAsia="ko-KR"/>
        </w:rPr>
      </w:pPr>
      <w:r w:rsidRPr="00421F76">
        <w:rPr>
          <w:rFonts w:ascii="Calibri" w:hAnsi="Calibri" w:cs="Calibri"/>
          <w:b/>
          <w:bCs/>
          <w:sz w:val="22"/>
          <w:szCs w:val="22"/>
          <w:lang w:eastAsia="ko-KR"/>
        </w:rPr>
        <w:t>Task 4 — Long-Term Continuous Monitoring and Cross-Reactor Validation</w:t>
      </w:r>
    </w:p>
    <w:p w14:paraId="4B267734" w14:textId="77777777" w:rsidR="00E972EC" w:rsidRPr="00421F76" w:rsidRDefault="00E972EC" w:rsidP="00E972EC">
      <w:pPr>
        <w:numPr>
          <w:ilvl w:val="0"/>
          <w:numId w:val="14"/>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 xml:space="preserve">Transition from battery-limited action cameras to </w:t>
      </w:r>
      <w:r w:rsidRPr="00421F76">
        <w:rPr>
          <w:rFonts w:ascii="Calibri" w:hAnsi="Calibri" w:cs="Calibri"/>
          <w:b/>
          <w:bCs/>
          <w:sz w:val="22"/>
          <w:szCs w:val="22"/>
          <w:lang w:eastAsia="ko-KR"/>
        </w:rPr>
        <w:t>underwater systems with continuous power delivery</w:t>
      </w:r>
      <w:r w:rsidRPr="00421F76">
        <w:rPr>
          <w:rFonts w:ascii="Calibri" w:hAnsi="Calibri" w:cs="Calibri"/>
          <w:sz w:val="22"/>
          <w:szCs w:val="22"/>
          <w:lang w:eastAsia="ko-KR"/>
        </w:rPr>
        <w:t xml:space="preserve"> and real-time video transmission.</w:t>
      </w:r>
    </w:p>
    <w:p w14:paraId="1DB7D159" w14:textId="77777777" w:rsidR="00E972EC" w:rsidRPr="00421F76" w:rsidRDefault="00E972EC" w:rsidP="00E972EC">
      <w:pPr>
        <w:numPr>
          <w:ilvl w:val="0"/>
          <w:numId w:val="14"/>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Execute validation tests at collaborating research facilities to establish the transferability of the Cherenkov-power correlation across different pool depths and core designs.</w:t>
      </w:r>
    </w:p>
    <w:p w14:paraId="2FE6F370" w14:textId="77777777" w:rsidR="00E972EC" w:rsidRPr="00421F76" w:rsidRDefault="00E972EC" w:rsidP="00E972EC">
      <w:pPr>
        <w:numPr>
          <w:ilvl w:val="0"/>
          <w:numId w:val="14"/>
        </w:numPr>
        <w:tabs>
          <w:tab w:val="num" w:pos="720"/>
        </w:tabs>
        <w:jc w:val="both"/>
        <w:rPr>
          <w:rFonts w:ascii="Calibri" w:hAnsi="Calibri" w:cs="Calibri"/>
          <w:sz w:val="22"/>
          <w:szCs w:val="22"/>
          <w:lang w:eastAsia="ko-KR"/>
        </w:rPr>
      </w:pPr>
      <w:r w:rsidRPr="00421F76">
        <w:rPr>
          <w:rFonts w:ascii="Calibri" w:hAnsi="Calibri" w:cs="Calibri"/>
          <w:sz w:val="22"/>
          <w:szCs w:val="22"/>
          <w:lang w:eastAsia="ko-KR"/>
        </w:rPr>
        <w:t>Finalize best-practice guides for integrating optical monitoring into modern reactor safety and digital twin architectures.</w:t>
      </w:r>
    </w:p>
    <w:p w14:paraId="5C8D5A38" w14:textId="77777777" w:rsidR="00E972EC" w:rsidRDefault="00E972EC">
      <w:pPr>
        <w:rPr>
          <w:rFonts w:ascii="Calibri" w:hAnsi="Calibri" w:cs="Calibri"/>
          <w:u w:val="single"/>
          <w:lang w:eastAsia="ko-KR"/>
        </w:rPr>
      </w:pPr>
    </w:p>
    <w:p w14:paraId="2968C20F" w14:textId="77777777" w:rsidR="00E972EC" w:rsidRPr="00AA3BB0" w:rsidRDefault="00E972EC" w:rsidP="00E972EC">
      <w:pPr>
        <w:rPr>
          <w:b/>
          <w:bCs/>
          <w:u w:val="single"/>
        </w:rPr>
      </w:pPr>
      <w:r w:rsidRPr="00AA3BB0">
        <w:rPr>
          <w:b/>
          <w:bCs/>
          <w:u w:val="single"/>
        </w:rPr>
        <w:t>Estimated Project Timeframe</w:t>
      </w:r>
    </w:p>
    <w:p w14:paraId="32E98A00" w14:textId="77777777" w:rsidR="00E972EC" w:rsidRDefault="00E972EC" w:rsidP="00E972EC"/>
    <w:p w14:paraId="445FDF97" w14:textId="77777777" w:rsidR="00E972EC" w:rsidRPr="00421F76" w:rsidRDefault="00E972EC" w:rsidP="00E972EC">
      <w:pPr>
        <w:jc w:val="both"/>
        <w:rPr>
          <w:sz w:val="22"/>
          <w:szCs w:val="22"/>
        </w:rPr>
      </w:pPr>
      <w:r w:rsidRPr="00421F76">
        <w:rPr>
          <w:sz w:val="22"/>
          <w:szCs w:val="22"/>
        </w:rPr>
        <w:t xml:space="preserve">The budget for this project will be $1M over 3 years.  A preliminary timeframe to execute the tasks described above </w:t>
      </w:r>
      <w:proofErr w:type="gramStart"/>
      <w:r w:rsidRPr="00421F76">
        <w:rPr>
          <w:sz w:val="22"/>
          <w:szCs w:val="22"/>
        </w:rPr>
        <w:t>is shown</w:t>
      </w:r>
      <w:proofErr w:type="gramEnd"/>
      <w:r w:rsidRPr="00421F76">
        <w:rPr>
          <w:sz w:val="22"/>
          <w:szCs w:val="22"/>
        </w:rPr>
        <w:t xml:space="preserve"> as follows:</w:t>
      </w:r>
    </w:p>
    <w:p w14:paraId="2D118989" w14:textId="77777777" w:rsidR="00E972EC" w:rsidRDefault="00E972EC" w:rsidP="00E972EC"/>
    <w:tbl>
      <w:tblPr>
        <w:tblW w:w="939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31"/>
        <w:gridCol w:w="665"/>
        <w:gridCol w:w="665"/>
        <w:gridCol w:w="666"/>
        <w:gridCol w:w="685"/>
        <w:gridCol w:w="666"/>
        <w:gridCol w:w="666"/>
        <w:gridCol w:w="666"/>
        <w:gridCol w:w="685"/>
        <w:gridCol w:w="666"/>
        <w:gridCol w:w="666"/>
        <w:gridCol w:w="666"/>
        <w:gridCol w:w="700"/>
        <w:gridCol w:w="6"/>
      </w:tblGrid>
      <w:tr w:rsidR="00E972EC" w:rsidRPr="00AA3BB0" w14:paraId="3EFB15C1" w14:textId="77777777" w:rsidTr="00D44EA0">
        <w:trPr>
          <w:trHeight w:val="297"/>
        </w:trPr>
        <w:tc>
          <w:tcPr>
            <w:tcW w:w="1331" w:type="dxa"/>
            <w:vMerge w:val="restart"/>
            <w:tcBorders>
              <w:top w:val="single" w:sz="6" w:space="0" w:color="auto"/>
              <w:left w:val="single" w:sz="6" w:space="0" w:color="auto"/>
              <w:bottom w:val="single" w:sz="6" w:space="0" w:color="auto"/>
              <w:right w:val="single" w:sz="6" w:space="0" w:color="auto"/>
            </w:tcBorders>
            <w:vAlign w:val="center"/>
            <w:hideMark/>
          </w:tcPr>
          <w:p w14:paraId="14D612E8" w14:textId="77777777" w:rsidR="00E972EC" w:rsidRPr="00633FDB" w:rsidRDefault="00E972EC" w:rsidP="00D44EA0">
            <w:pPr>
              <w:jc w:val="center"/>
              <w:rPr>
                <w:sz w:val="22"/>
                <w:szCs w:val="22"/>
              </w:rPr>
            </w:pPr>
            <w:r w:rsidRPr="00633FDB">
              <w:rPr>
                <w:sz w:val="22"/>
                <w:szCs w:val="22"/>
              </w:rPr>
              <w:t>Task</w:t>
            </w:r>
          </w:p>
        </w:tc>
        <w:tc>
          <w:tcPr>
            <w:tcW w:w="2681" w:type="dxa"/>
            <w:gridSpan w:val="4"/>
            <w:tcBorders>
              <w:top w:val="single" w:sz="6" w:space="0" w:color="auto"/>
              <w:left w:val="single" w:sz="6" w:space="0" w:color="auto"/>
              <w:bottom w:val="single" w:sz="6" w:space="0" w:color="auto"/>
              <w:right w:val="single" w:sz="6" w:space="0" w:color="auto"/>
            </w:tcBorders>
            <w:vAlign w:val="center"/>
            <w:hideMark/>
          </w:tcPr>
          <w:p w14:paraId="73A0025B" w14:textId="77777777" w:rsidR="00E972EC" w:rsidRPr="00633FDB" w:rsidRDefault="00E972EC" w:rsidP="00D44EA0">
            <w:pPr>
              <w:jc w:val="center"/>
              <w:rPr>
                <w:sz w:val="22"/>
                <w:szCs w:val="22"/>
              </w:rPr>
            </w:pPr>
            <w:r w:rsidRPr="00633FDB">
              <w:rPr>
                <w:sz w:val="22"/>
                <w:szCs w:val="22"/>
              </w:rPr>
              <w:t>Year 1</w:t>
            </w:r>
          </w:p>
        </w:tc>
        <w:tc>
          <w:tcPr>
            <w:tcW w:w="2683" w:type="dxa"/>
            <w:gridSpan w:val="4"/>
            <w:tcBorders>
              <w:top w:val="single" w:sz="6" w:space="0" w:color="auto"/>
              <w:left w:val="single" w:sz="6" w:space="0" w:color="auto"/>
              <w:bottom w:val="single" w:sz="6" w:space="0" w:color="auto"/>
              <w:right w:val="single" w:sz="6" w:space="0" w:color="auto"/>
            </w:tcBorders>
            <w:vAlign w:val="center"/>
            <w:hideMark/>
          </w:tcPr>
          <w:p w14:paraId="5C87401D" w14:textId="77777777" w:rsidR="00E972EC" w:rsidRPr="00633FDB" w:rsidRDefault="00E972EC" w:rsidP="00D44EA0">
            <w:pPr>
              <w:jc w:val="center"/>
              <w:rPr>
                <w:sz w:val="22"/>
                <w:szCs w:val="22"/>
              </w:rPr>
            </w:pPr>
            <w:r w:rsidRPr="00633FDB">
              <w:rPr>
                <w:sz w:val="22"/>
                <w:szCs w:val="22"/>
              </w:rPr>
              <w:t>Year 2</w:t>
            </w:r>
          </w:p>
        </w:tc>
        <w:tc>
          <w:tcPr>
            <w:tcW w:w="2704" w:type="dxa"/>
            <w:gridSpan w:val="5"/>
            <w:tcBorders>
              <w:top w:val="single" w:sz="6" w:space="0" w:color="auto"/>
              <w:left w:val="single" w:sz="6" w:space="0" w:color="auto"/>
              <w:bottom w:val="single" w:sz="6" w:space="0" w:color="auto"/>
              <w:right w:val="single" w:sz="6" w:space="0" w:color="auto"/>
            </w:tcBorders>
            <w:vAlign w:val="center"/>
            <w:hideMark/>
          </w:tcPr>
          <w:p w14:paraId="4BB37778" w14:textId="77777777" w:rsidR="00E972EC" w:rsidRPr="00633FDB" w:rsidRDefault="00E972EC" w:rsidP="00D44EA0">
            <w:pPr>
              <w:jc w:val="center"/>
              <w:rPr>
                <w:sz w:val="22"/>
                <w:szCs w:val="22"/>
              </w:rPr>
            </w:pPr>
            <w:r w:rsidRPr="00633FDB">
              <w:rPr>
                <w:sz w:val="22"/>
                <w:szCs w:val="22"/>
              </w:rPr>
              <w:t>Year 3</w:t>
            </w:r>
          </w:p>
        </w:tc>
      </w:tr>
      <w:tr w:rsidR="00E972EC" w:rsidRPr="00AA3BB0" w14:paraId="5D32747B" w14:textId="77777777" w:rsidTr="00D44EA0">
        <w:trPr>
          <w:gridAfter w:val="1"/>
          <w:wAfter w:w="6" w:type="dxa"/>
          <w:trHeight w:val="331"/>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17E5AD0" w14:textId="77777777" w:rsidR="00E972EC" w:rsidRPr="00633FDB" w:rsidRDefault="00E972EC" w:rsidP="00D44EA0">
            <w:pPr>
              <w:jc w:val="center"/>
              <w:rPr>
                <w:sz w:val="22"/>
                <w:szCs w:val="22"/>
              </w:rPr>
            </w:pPr>
          </w:p>
        </w:tc>
        <w:tc>
          <w:tcPr>
            <w:tcW w:w="665" w:type="dxa"/>
            <w:tcBorders>
              <w:top w:val="single" w:sz="6" w:space="0" w:color="auto"/>
              <w:left w:val="single" w:sz="6" w:space="0" w:color="auto"/>
              <w:bottom w:val="single" w:sz="6" w:space="0" w:color="auto"/>
              <w:right w:val="single" w:sz="6" w:space="0" w:color="auto"/>
            </w:tcBorders>
            <w:vAlign w:val="center"/>
            <w:hideMark/>
          </w:tcPr>
          <w:p w14:paraId="276EC544" w14:textId="77777777" w:rsidR="00E972EC" w:rsidRPr="00633FDB" w:rsidRDefault="00E972EC" w:rsidP="00D44EA0">
            <w:pPr>
              <w:jc w:val="center"/>
              <w:rPr>
                <w:sz w:val="22"/>
                <w:szCs w:val="22"/>
              </w:rPr>
            </w:pPr>
            <w:r w:rsidRPr="00633FDB">
              <w:rPr>
                <w:sz w:val="22"/>
                <w:szCs w:val="22"/>
              </w:rPr>
              <w:t>Q1</w:t>
            </w:r>
          </w:p>
        </w:tc>
        <w:tc>
          <w:tcPr>
            <w:tcW w:w="665" w:type="dxa"/>
            <w:tcBorders>
              <w:top w:val="single" w:sz="6" w:space="0" w:color="auto"/>
              <w:left w:val="single" w:sz="6" w:space="0" w:color="auto"/>
              <w:bottom w:val="single" w:sz="6" w:space="0" w:color="auto"/>
              <w:right w:val="single" w:sz="6" w:space="0" w:color="auto"/>
            </w:tcBorders>
            <w:vAlign w:val="center"/>
            <w:hideMark/>
          </w:tcPr>
          <w:p w14:paraId="5F92842A" w14:textId="77777777" w:rsidR="00E972EC" w:rsidRPr="00633FDB" w:rsidRDefault="00E972EC" w:rsidP="00D44EA0">
            <w:pPr>
              <w:jc w:val="center"/>
              <w:rPr>
                <w:sz w:val="22"/>
                <w:szCs w:val="22"/>
              </w:rPr>
            </w:pPr>
            <w:r w:rsidRPr="00633FDB">
              <w:rPr>
                <w:sz w:val="22"/>
                <w:szCs w:val="22"/>
              </w:rPr>
              <w:t>Q2</w:t>
            </w:r>
          </w:p>
        </w:tc>
        <w:tc>
          <w:tcPr>
            <w:tcW w:w="666" w:type="dxa"/>
            <w:tcBorders>
              <w:top w:val="single" w:sz="6" w:space="0" w:color="auto"/>
              <w:left w:val="single" w:sz="6" w:space="0" w:color="auto"/>
              <w:bottom w:val="single" w:sz="6" w:space="0" w:color="auto"/>
              <w:right w:val="single" w:sz="6" w:space="0" w:color="auto"/>
            </w:tcBorders>
            <w:vAlign w:val="center"/>
            <w:hideMark/>
          </w:tcPr>
          <w:p w14:paraId="12E51D85" w14:textId="77777777" w:rsidR="00E972EC" w:rsidRPr="00633FDB" w:rsidRDefault="00E972EC" w:rsidP="00D44EA0">
            <w:pPr>
              <w:jc w:val="center"/>
              <w:rPr>
                <w:sz w:val="22"/>
                <w:szCs w:val="22"/>
              </w:rPr>
            </w:pPr>
            <w:r w:rsidRPr="00633FDB">
              <w:rPr>
                <w:sz w:val="22"/>
                <w:szCs w:val="22"/>
              </w:rPr>
              <w:t>Q3</w:t>
            </w:r>
          </w:p>
        </w:tc>
        <w:tc>
          <w:tcPr>
            <w:tcW w:w="685" w:type="dxa"/>
            <w:tcBorders>
              <w:top w:val="single" w:sz="6" w:space="0" w:color="auto"/>
              <w:left w:val="single" w:sz="6" w:space="0" w:color="auto"/>
              <w:bottom w:val="single" w:sz="6" w:space="0" w:color="auto"/>
              <w:right w:val="single" w:sz="6" w:space="0" w:color="auto"/>
            </w:tcBorders>
            <w:vAlign w:val="center"/>
            <w:hideMark/>
          </w:tcPr>
          <w:p w14:paraId="7AAA3E1F" w14:textId="77777777" w:rsidR="00E972EC" w:rsidRPr="00633FDB" w:rsidRDefault="00E972EC" w:rsidP="00D44EA0">
            <w:pPr>
              <w:jc w:val="center"/>
              <w:rPr>
                <w:sz w:val="22"/>
                <w:szCs w:val="22"/>
              </w:rPr>
            </w:pPr>
            <w:r w:rsidRPr="00633FDB">
              <w:rPr>
                <w:sz w:val="22"/>
                <w:szCs w:val="22"/>
              </w:rPr>
              <w:t>Q4</w:t>
            </w:r>
          </w:p>
        </w:tc>
        <w:tc>
          <w:tcPr>
            <w:tcW w:w="666" w:type="dxa"/>
            <w:tcBorders>
              <w:top w:val="single" w:sz="6" w:space="0" w:color="auto"/>
              <w:left w:val="single" w:sz="6" w:space="0" w:color="auto"/>
              <w:bottom w:val="single" w:sz="6" w:space="0" w:color="auto"/>
              <w:right w:val="single" w:sz="6" w:space="0" w:color="auto"/>
            </w:tcBorders>
            <w:vAlign w:val="center"/>
            <w:hideMark/>
          </w:tcPr>
          <w:p w14:paraId="701E1E0D" w14:textId="77777777" w:rsidR="00E972EC" w:rsidRPr="00633FDB" w:rsidRDefault="00E972EC" w:rsidP="00D44EA0">
            <w:pPr>
              <w:jc w:val="center"/>
              <w:rPr>
                <w:sz w:val="22"/>
                <w:szCs w:val="22"/>
              </w:rPr>
            </w:pPr>
            <w:r w:rsidRPr="00633FDB">
              <w:rPr>
                <w:sz w:val="22"/>
                <w:szCs w:val="22"/>
              </w:rPr>
              <w:t>Q1</w:t>
            </w:r>
          </w:p>
        </w:tc>
        <w:tc>
          <w:tcPr>
            <w:tcW w:w="666" w:type="dxa"/>
            <w:tcBorders>
              <w:top w:val="single" w:sz="6" w:space="0" w:color="auto"/>
              <w:left w:val="single" w:sz="6" w:space="0" w:color="auto"/>
              <w:bottom w:val="single" w:sz="6" w:space="0" w:color="auto"/>
              <w:right w:val="single" w:sz="6" w:space="0" w:color="auto"/>
            </w:tcBorders>
            <w:vAlign w:val="center"/>
            <w:hideMark/>
          </w:tcPr>
          <w:p w14:paraId="4E73BD0D" w14:textId="77777777" w:rsidR="00E972EC" w:rsidRPr="00633FDB" w:rsidRDefault="00E972EC" w:rsidP="00D44EA0">
            <w:pPr>
              <w:jc w:val="center"/>
              <w:rPr>
                <w:sz w:val="22"/>
                <w:szCs w:val="22"/>
              </w:rPr>
            </w:pPr>
            <w:r w:rsidRPr="00633FDB">
              <w:rPr>
                <w:sz w:val="22"/>
                <w:szCs w:val="22"/>
              </w:rPr>
              <w:t>Q2</w:t>
            </w:r>
          </w:p>
        </w:tc>
        <w:tc>
          <w:tcPr>
            <w:tcW w:w="666" w:type="dxa"/>
            <w:tcBorders>
              <w:top w:val="single" w:sz="6" w:space="0" w:color="auto"/>
              <w:left w:val="single" w:sz="6" w:space="0" w:color="auto"/>
              <w:bottom w:val="single" w:sz="6" w:space="0" w:color="auto"/>
              <w:right w:val="single" w:sz="6" w:space="0" w:color="auto"/>
            </w:tcBorders>
            <w:vAlign w:val="center"/>
            <w:hideMark/>
          </w:tcPr>
          <w:p w14:paraId="49287DF4" w14:textId="77777777" w:rsidR="00E972EC" w:rsidRPr="00633FDB" w:rsidRDefault="00E972EC" w:rsidP="00D44EA0">
            <w:pPr>
              <w:jc w:val="center"/>
              <w:rPr>
                <w:sz w:val="22"/>
                <w:szCs w:val="22"/>
              </w:rPr>
            </w:pPr>
            <w:r w:rsidRPr="00633FDB">
              <w:rPr>
                <w:sz w:val="22"/>
                <w:szCs w:val="22"/>
              </w:rPr>
              <w:t>Q3</w:t>
            </w:r>
          </w:p>
        </w:tc>
        <w:tc>
          <w:tcPr>
            <w:tcW w:w="685" w:type="dxa"/>
            <w:tcBorders>
              <w:top w:val="single" w:sz="6" w:space="0" w:color="auto"/>
              <w:left w:val="single" w:sz="6" w:space="0" w:color="auto"/>
              <w:bottom w:val="single" w:sz="6" w:space="0" w:color="auto"/>
              <w:right w:val="single" w:sz="6" w:space="0" w:color="auto"/>
            </w:tcBorders>
            <w:vAlign w:val="center"/>
            <w:hideMark/>
          </w:tcPr>
          <w:p w14:paraId="3174D880" w14:textId="77777777" w:rsidR="00E972EC" w:rsidRPr="00633FDB" w:rsidRDefault="00E972EC" w:rsidP="00D44EA0">
            <w:pPr>
              <w:jc w:val="center"/>
              <w:rPr>
                <w:sz w:val="22"/>
                <w:szCs w:val="22"/>
              </w:rPr>
            </w:pPr>
            <w:r w:rsidRPr="00633FDB">
              <w:rPr>
                <w:sz w:val="22"/>
                <w:szCs w:val="22"/>
              </w:rPr>
              <w:t>Q4</w:t>
            </w:r>
          </w:p>
        </w:tc>
        <w:tc>
          <w:tcPr>
            <w:tcW w:w="666" w:type="dxa"/>
            <w:tcBorders>
              <w:top w:val="single" w:sz="6" w:space="0" w:color="auto"/>
              <w:left w:val="single" w:sz="6" w:space="0" w:color="auto"/>
              <w:bottom w:val="single" w:sz="6" w:space="0" w:color="auto"/>
              <w:right w:val="single" w:sz="6" w:space="0" w:color="auto"/>
            </w:tcBorders>
            <w:vAlign w:val="center"/>
            <w:hideMark/>
          </w:tcPr>
          <w:p w14:paraId="6AA27EB0" w14:textId="77777777" w:rsidR="00E972EC" w:rsidRPr="00633FDB" w:rsidRDefault="00E972EC" w:rsidP="00D44EA0">
            <w:pPr>
              <w:jc w:val="center"/>
              <w:rPr>
                <w:sz w:val="22"/>
                <w:szCs w:val="22"/>
              </w:rPr>
            </w:pPr>
            <w:r w:rsidRPr="00633FDB">
              <w:rPr>
                <w:sz w:val="22"/>
                <w:szCs w:val="22"/>
              </w:rPr>
              <w:t>Q1</w:t>
            </w:r>
          </w:p>
        </w:tc>
        <w:tc>
          <w:tcPr>
            <w:tcW w:w="666" w:type="dxa"/>
            <w:tcBorders>
              <w:top w:val="single" w:sz="6" w:space="0" w:color="auto"/>
              <w:left w:val="single" w:sz="6" w:space="0" w:color="auto"/>
              <w:bottom w:val="single" w:sz="6" w:space="0" w:color="auto"/>
              <w:right w:val="single" w:sz="6" w:space="0" w:color="auto"/>
            </w:tcBorders>
            <w:vAlign w:val="center"/>
            <w:hideMark/>
          </w:tcPr>
          <w:p w14:paraId="76E31E1F" w14:textId="77777777" w:rsidR="00E972EC" w:rsidRPr="00633FDB" w:rsidRDefault="00E972EC" w:rsidP="00D44EA0">
            <w:pPr>
              <w:jc w:val="center"/>
              <w:rPr>
                <w:sz w:val="22"/>
                <w:szCs w:val="22"/>
              </w:rPr>
            </w:pPr>
            <w:r w:rsidRPr="00633FDB">
              <w:rPr>
                <w:sz w:val="22"/>
                <w:szCs w:val="22"/>
              </w:rPr>
              <w:t>Q2</w:t>
            </w:r>
          </w:p>
        </w:tc>
        <w:tc>
          <w:tcPr>
            <w:tcW w:w="666" w:type="dxa"/>
            <w:tcBorders>
              <w:top w:val="single" w:sz="6" w:space="0" w:color="auto"/>
              <w:left w:val="single" w:sz="6" w:space="0" w:color="auto"/>
              <w:bottom w:val="single" w:sz="6" w:space="0" w:color="auto"/>
              <w:right w:val="single" w:sz="6" w:space="0" w:color="auto"/>
            </w:tcBorders>
            <w:vAlign w:val="center"/>
            <w:hideMark/>
          </w:tcPr>
          <w:p w14:paraId="02077298" w14:textId="77777777" w:rsidR="00E972EC" w:rsidRPr="00633FDB" w:rsidRDefault="00E972EC" w:rsidP="00D44EA0">
            <w:pPr>
              <w:jc w:val="center"/>
              <w:rPr>
                <w:sz w:val="22"/>
                <w:szCs w:val="22"/>
              </w:rPr>
            </w:pPr>
            <w:r w:rsidRPr="00633FDB">
              <w:rPr>
                <w:sz w:val="22"/>
                <w:szCs w:val="22"/>
              </w:rPr>
              <w:t>Q3</w:t>
            </w:r>
          </w:p>
        </w:tc>
        <w:tc>
          <w:tcPr>
            <w:tcW w:w="700" w:type="dxa"/>
            <w:tcBorders>
              <w:top w:val="single" w:sz="6" w:space="0" w:color="auto"/>
              <w:left w:val="single" w:sz="6" w:space="0" w:color="auto"/>
              <w:bottom w:val="single" w:sz="6" w:space="0" w:color="auto"/>
              <w:right w:val="single" w:sz="6" w:space="0" w:color="auto"/>
            </w:tcBorders>
            <w:vAlign w:val="center"/>
            <w:hideMark/>
          </w:tcPr>
          <w:p w14:paraId="72C3D0E9" w14:textId="77777777" w:rsidR="00E972EC" w:rsidRPr="00633FDB" w:rsidRDefault="00E972EC" w:rsidP="00D44EA0">
            <w:pPr>
              <w:jc w:val="center"/>
              <w:rPr>
                <w:sz w:val="22"/>
                <w:szCs w:val="22"/>
              </w:rPr>
            </w:pPr>
            <w:r w:rsidRPr="00633FDB">
              <w:rPr>
                <w:sz w:val="22"/>
                <w:szCs w:val="22"/>
              </w:rPr>
              <w:t>Q4</w:t>
            </w:r>
          </w:p>
        </w:tc>
      </w:tr>
      <w:tr w:rsidR="00E972EC" w:rsidRPr="00AA3BB0" w14:paraId="492EF4AB" w14:textId="77777777" w:rsidTr="00D44EA0">
        <w:trPr>
          <w:gridAfter w:val="1"/>
          <w:wAfter w:w="6" w:type="dxa"/>
          <w:trHeight w:val="331"/>
        </w:trPr>
        <w:tc>
          <w:tcPr>
            <w:tcW w:w="1331" w:type="dxa"/>
            <w:tcBorders>
              <w:top w:val="single" w:sz="6" w:space="0" w:color="auto"/>
              <w:left w:val="single" w:sz="6" w:space="0" w:color="auto"/>
              <w:bottom w:val="single" w:sz="6" w:space="0" w:color="auto"/>
              <w:right w:val="single" w:sz="6" w:space="0" w:color="auto"/>
            </w:tcBorders>
            <w:vAlign w:val="center"/>
            <w:hideMark/>
          </w:tcPr>
          <w:p w14:paraId="73AB6A92" w14:textId="77777777" w:rsidR="00E972EC" w:rsidRPr="00633FDB" w:rsidRDefault="00E972EC" w:rsidP="00D44EA0">
            <w:pPr>
              <w:jc w:val="center"/>
              <w:rPr>
                <w:sz w:val="22"/>
                <w:szCs w:val="22"/>
              </w:rPr>
            </w:pPr>
            <w:r w:rsidRPr="00633FDB">
              <w:rPr>
                <w:sz w:val="22"/>
                <w:szCs w:val="22"/>
              </w:rPr>
              <w:t>1</w:t>
            </w:r>
          </w:p>
        </w:tc>
        <w:tc>
          <w:tcPr>
            <w:tcW w:w="665"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122465B8" w14:textId="77777777" w:rsidR="00E972EC" w:rsidRPr="00633FDB" w:rsidRDefault="00E972EC" w:rsidP="00D44EA0">
            <w:pPr>
              <w:jc w:val="center"/>
              <w:rPr>
                <w:sz w:val="22"/>
                <w:szCs w:val="22"/>
              </w:rPr>
            </w:pPr>
          </w:p>
        </w:tc>
        <w:tc>
          <w:tcPr>
            <w:tcW w:w="665"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195EEEEE"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6A00E4F1" w14:textId="77777777" w:rsidR="00E972EC" w:rsidRPr="00633FDB" w:rsidRDefault="00E972EC" w:rsidP="00D44EA0">
            <w:pPr>
              <w:jc w:val="center"/>
              <w:rPr>
                <w:sz w:val="22"/>
                <w:szCs w:val="22"/>
              </w:rPr>
            </w:pPr>
          </w:p>
        </w:tc>
        <w:tc>
          <w:tcPr>
            <w:tcW w:w="685"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3F5BF281"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4573097E"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693FFD50"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56E5DE65" w14:textId="77777777" w:rsidR="00E972EC" w:rsidRPr="00633FDB" w:rsidRDefault="00E972EC" w:rsidP="00D44EA0">
            <w:pPr>
              <w:jc w:val="center"/>
              <w:rPr>
                <w:sz w:val="22"/>
                <w:szCs w:val="22"/>
              </w:rPr>
            </w:pPr>
          </w:p>
        </w:tc>
        <w:tc>
          <w:tcPr>
            <w:tcW w:w="685" w:type="dxa"/>
            <w:tcBorders>
              <w:top w:val="single" w:sz="6" w:space="0" w:color="auto"/>
              <w:left w:val="single" w:sz="6" w:space="0" w:color="auto"/>
              <w:bottom w:val="single" w:sz="6" w:space="0" w:color="auto"/>
              <w:right w:val="single" w:sz="6" w:space="0" w:color="auto"/>
            </w:tcBorders>
            <w:vAlign w:val="center"/>
            <w:hideMark/>
          </w:tcPr>
          <w:p w14:paraId="4B91BDF4"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31311DBF"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444EF5A3"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24325279" w14:textId="77777777" w:rsidR="00E972EC" w:rsidRPr="00633FDB" w:rsidRDefault="00E972EC" w:rsidP="00D44EA0">
            <w:pPr>
              <w:jc w:val="center"/>
              <w:rPr>
                <w:sz w:val="22"/>
                <w:szCs w:val="22"/>
              </w:rPr>
            </w:pPr>
          </w:p>
        </w:tc>
        <w:tc>
          <w:tcPr>
            <w:tcW w:w="700" w:type="dxa"/>
            <w:tcBorders>
              <w:top w:val="single" w:sz="6" w:space="0" w:color="auto"/>
              <w:left w:val="single" w:sz="6" w:space="0" w:color="auto"/>
              <w:bottom w:val="single" w:sz="6" w:space="0" w:color="auto"/>
              <w:right w:val="single" w:sz="6" w:space="0" w:color="auto"/>
            </w:tcBorders>
            <w:vAlign w:val="center"/>
            <w:hideMark/>
          </w:tcPr>
          <w:p w14:paraId="3992A0C8" w14:textId="77777777" w:rsidR="00E972EC" w:rsidRPr="00633FDB" w:rsidRDefault="00E972EC" w:rsidP="00D44EA0">
            <w:pPr>
              <w:jc w:val="center"/>
              <w:rPr>
                <w:sz w:val="22"/>
                <w:szCs w:val="22"/>
              </w:rPr>
            </w:pPr>
          </w:p>
        </w:tc>
      </w:tr>
      <w:tr w:rsidR="00E972EC" w:rsidRPr="00AA3BB0" w14:paraId="3EDED0C2" w14:textId="77777777" w:rsidTr="00D44EA0">
        <w:trPr>
          <w:gridAfter w:val="1"/>
          <w:wAfter w:w="6" w:type="dxa"/>
          <w:trHeight w:val="331"/>
        </w:trPr>
        <w:tc>
          <w:tcPr>
            <w:tcW w:w="1331" w:type="dxa"/>
            <w:tcBorders>
              <w:top w:val="single" w:sz="6" w:space="0" w:color="auto"/>
              <w:left w:val="single" w:sz="6" w:space="0" w:color="auto"/>
              <w:bottom w:val="single" w:sz="6" w:space="0" w:color="auto"/>
              <w:right w:val="single" w:sz="6" w:space="0" w:color="auto"/>
            </w:tcBorders>
            <w:vAlign w:val="center"/>
            <w:hideMark/>
          </w:tcPr>
          <w:p w14:paraId="296D200F" w14:textId="77777777" w:rsidR="00E972EC" w:rsidRPr="00633FDB" w:rsidRDefault="00E972EC" w:rsidP="00D44EA0">
            <w:pPr>
              <w:jc w:val="center"/>
              <w:rPr>
                <w:sz w:val="22"/>
                <w:szCs w:val="22"/>
              </w:rPr>
            </w:pPr>
            <w:r w:rsidRPr="00633FDB">
              <w:rPr>
                <w:sz w:val="22"/>
                <w:szCs w:val="22"/>
              </w:rPr>
              <w:t>2</w:t>
            </w:r>
          </w:p>
        </w:tc>
        <w:tc>
          <w:tcPr>
            <w:tcW w:w="665" w:type="dxa"/>
            <w:tcBorders>
              <w:top w:val="single" w:sz="6" w:space="0" w:color="auto"/>
              <w:left w:val="single" w:sz="6" w:space="0" w:color="auto"/>
              <w:bottom w:val="single" w:sz="6" w:space="0" w:color="auto"/>
              <w:right w:val="single" w:sz="6" w:space="0" w:color="auto"/>
            </w:tcBorders>
            <w:vAlign w:val="center"/>
            <w:hideMark/>
          </w:tcPr>
          <w:p w14:paraId="5A73B46B" w14:textId="77777777" w:rsidR="00E972EC" w:rsidRPr="00633FDB" w:rsidRDefault="00E972EC" w:rsidP="00D44EA0">
            <w:pPr>
              <w:jc w:val="center"/>
              <w:rPr>
                <w:sz w:val="22"/>
                <w:szCs w:val="22"/>
              </w:rPr>
            </w:pPr>
          </w:p>
        </w:tc>
        <w:tc>
          <w:tcPr>
            <w:tcW w:w="665" w:type="dxa"/>
            <w:tcBorders>
              <w:top w:val="single" w:sz="6" w:space="0" w:color="auto"/>
              <w:left w:val="single" w:sz="6" w:space="0" w:color="auto"/>
              <w:bottom w:val="single" w:sz="6" w:space="0" w:color="auto"/>
              <w:right w:val="single" w:sz="6" w:space="0" w:color="auto"/>
            </w:tcBorders>
            <w:vAlign w:val="center"/>
            <w:hideMark/>
          </w:tcPr>
          <w:p w14:paraId="23DD45F6"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7AD1C714" w14:textId="77777777" w:rsidR="00E972EC" w:rsidRPr="00633FDB" w:rsidRDefault="00E972EC" w:rsidP="00D44EA0">
            <w:pPr>
              <w:jc w:val="center"/>
              <w:rPr>
                <w:sz w:val="22"/>
                <w:szCs w:val="22"/>
              </w:rPr>
            </w:pPr>
          </w:p>
        </w:tc>
        <w:tc>
          <w:tcPr>
            <w:tcW w:w="685"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5CCF4CDD"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17C4AB34"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6EE8B976"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711FE052" w14:textId="77777777" w:rsidR="00E972EC" w:rsidRPr="00633FDB" w:rsidRDefault="00E972EC" w:rsidP="00D44EA0">
            <w:pPr>
              <w:jc w:val="center"/>
              <w:rPr>
                <w:sz w:val="22"/>
                <w:szCs w:val="22"/>
              </w:rPr>
            </w:pPr>
          </w:p>
        </w:tc>
        <w:tc>
          <w:tcPr>
            <w:tcW w:w="685"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6EED9EC0"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2CF01A6C"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12325FA7"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318C48E9" w14:textId="77777777" w:rsidR="00E972EC" w:rsidRPr="00633FDB" w:rsidRDefault="00E972EC" w:rsidP="00D44EA0">
            <w:pPr>
              <w:jc w:val="center"/>
              <w:rPr>
                <w:sz w:val="22"/>
                <w:szCs w:val="22"/>
              </w:rPr>
            </w:pPr>
          </w:p>
        </w:tc>
        <w:tc>
          <w:tcPr>
            <w:tcW w:w="700" w:type="dxa"/>
            <w:tcBorders>
              <w:top w:val="single" w:sz="6" w:space="0" w:color="auto"/>
              <w:left w:val="single" w:sz="6" w:space="0" w:color="auto"/>
              <w:bottom w:val="single" w:sz="6" w:space="0" w:color="auto"/>
              <w:right w:val="single" w:sz="6" w:space="0" w:color="auto"/>
            </w:tcBorders>
            <w:vAlign w:val="center"/>
            <w:hideMark/>
          </w:tcPr>
          <w:p w14:paraId="6DD5D1CE" w14:textId="77777777" w:rsidR="00E972EC" w:rsidRPr="00633FDB" w:rsidRDefault="00E972EC" w:rsidP="00D44EA0">
            <w:pPr>
              <w:jc w:val="center"/>
              <w:rPr>
                <w:sz w:val="22"/>
                <w:szCs w:val="22"/>
              </w:rPr>
            </w:pPr>
          </w:p>
        </w:tc>
      </w:tr>
      <w:tr w:rsidR="00E972EC" w:rsidRPr="00AA3BB0" w14:paraId="7FFF809D" w14:textId="77777777" w:rsidTr="00D44EA0">
        <w:trPr>
          <w:gridAfter w:val="1"/>
          <w:wAfter w:w="6" w:type="dxa"/>
          <w:trHeight w:val="331"/>
        </w:trPr>
        <w:tc>
          <w:tcPr>
            <w:tcW w:w="1331" w:type="dxa"/>
            <w:tcBorders>
              <w:top w:val="single" w:sz="6" w:space="0" w:color="auto"/>
              <w:left w:val="single" w:sz="6" w:space="0" w:color="auto"/>
              <w:bottom w:val="single" w:sz="6" w:space="0" w:color="auto"/>
              <w:right w:val="single" w:sz="6" w:space="0" w:color="auto"/>
            </w:tcBorders>
            <w:vAlign w:val="center"/>
            <w:hideMark/>
          </w:tcPr>
          <w:p w14:paraId="04FB8550" w14:textId="77777777" w:rsidR="00E972EC" w:rsidRPr="00633FDB" w:rsidRDefault="00E972EC" w:rsidP="00D44EA0">
            <w:pPr>
              <w:jc w:val="center"/>
              <w:rPr>
                <w:sz w:val="22"/>
                <w:szCs w:val="22"/>
              </w:rPr>
            </w:pPr>
            <w:r w:rsidRPr="00633FDB">
              <w:rPr>
                <w:sz w:val="22"/>
                <w:szCs w:val="22"/>
              </w:rPr>
              <w:t>3</w:t>
            </w:r>
          </w:p>
        </w:tc>
        <w:tc>
          <w:tcPr>
            <w:tcW w:w="665" w:type="dxa"/>
            <w:tcBorders>
              <w:top w:val="single" w:sz="6" w:space="0" w:color="auto"/>
              <w:left w:val="single" w:sz="6" w:space="0" w:color="auto"/>
              <w:bottom w:val="single" w:sz="6" w:space="0" w:color="auto"/>
              <w:right w:val="single" w:sz="6" w:space="0" w:color="auto"/>
            </w:tcBorders>
            <w:vAlign w:val="center"/>
            <w:hideMark/>
          </w:tcPr>
          <w:p w14:paraId="4035F194" w14:textId="77777777" w:rsidR="00E972EC" w:rsidRPr="00633FDB" w:rsidRDefault="00E972EC" w:rsidP="00D44EA0">
            <w:pPr>
              <w:jc w:val="center"/>
              <w:rPr>
                <w:sz w:val="22"/>
                <w:szCs w:val="22"/>
              </w:rPr>
            </w:pPr>
          </w:p>
        </w:tc>
        <w:tc>
          <w:tcPr>
            <w:tcW w:w="665" w:type="dxa"/>
            <w:tcBorders>
              <w:top w:val="single" w:sz="6" w:space="0" w:color="auto"/>
              <w:left w:val="single" w:sz="6" w:space="0" w:color="auto"/>
              <w:bottom w:val="single" w:sz="6" w:space="0" w:color="auto"/>
              <w:right w:val="single" w:sz="6" w:space="0" w:color="auto"/>
            </w:tcBorders>
            <w:vAlign w:val="center"/>
            <w:hideMark/>
          </w:tcPr>
          <w:p w14:paraId="70819859"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36BE8984" w14:textId="77777777" w:rsidR="00E972EC" w:rsidRPr="00633FDB" w:rsidRDefault="00E972EC" w:rsidP="00D44EA0">
            <w:pPr>
              <w:jc w:val="center"/>
              <w:rPr>
                <w:sz w:val="22"/>
                <w:szCs w:val="22"/>
              </w:rPr>
            </w:pPr>
          </w:p>
        </w:tc>
        <w:tc>
          <w:tcPr>
            <w:tcW w:w="685" w:type="dxa"/>
            <w:tcBorders>
              <w:top w:val="single" w:sz="6" w:space="0" w:color="auto"/>
              <w:left w:val="single" w:sz="6" w:space="0" w:color="auto"/>
              <w:bottom w:val="single" w:sz="6" w:space="0" w:color="auto"/>
              <w:right w:val="single" w:sz="6" w:space="0" w:color="auto"/>
            </w:tcBorders>
            <w:vAlign w:val="center"/>
            <w:hideMark/>
          </w:tcPr>
          <w:p w14:paraId="46AE581B"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2976E4C4"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51330EB1"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2EC76DD3" w14:textId="77777777" w:rsidR="00E972EC" w:rsidRPr="00633FDB" w:rsidRDefault="00E972EC" w:rsidP="00D44EA0">
            <w:pPr>
              <w:jc w:val="center"/>
              <w:rPr>
                <w:sz w:val="22"/>
                <w:szCs w:val="22"/>
              </w:rPr>
            </w:pPr>
          </w:p>
        </w:tc>
        <w:tc>
          <w:tcPr>
            <w:tcW w:w="685"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33CD031B"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5AFCF946"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35F3E3CC"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6876DC21" w14:textId="77777777" w:rsidR="00E972EC" w:rsidRPr="00633FDB" w:rsidRDefault="00E972EC" w:rsidP="00D44EA0">
            <w:pPr>
              <w:jc w:val="center"/>
              <w:rPr>
                <w:sz w:val="22"/>
                <w:szCs w:val="22"/>
              </w:rPr>
            </w:pPr>
          </w:p>
        </w:tc>
        <w:tc>
          <w:tcPr>
            <w:tcW w:w="700" w:type="dxa"/>
            <w:tcBorders>
              <w:top w:val="single" w:sz="6" w:space="0" w:color="auto"/>
              <w:left w:val="single" w:sz="6" w:space="0" w:color="auto"/>
              <w:bottom w:val="single" w:sz="6" w:space="0" w:color="auto"/>
              <w:right w:val="single" w:sz="6" w:space="0" w:color="auto"/>
            </w:tcBorders>
            <w:vAlign w:val="center"/>
            <w:hideMark/>
          </w:tcPr>
          <w:p w14:paraId="32E7C1B8" w14:textId="77777777" w:rsidR="00E972EC" w:rsidRPr="00633FDB" w:rsidRDefault="00E972EC" w:rsidP="00D44EA0">
            <w:pPr>
              <w:jc w:val="center"/>
              <w:rPr>
                <w:sz w:val="22"/>
                <w:szCs w:val="22"/>
              </w:rPr>
            </w:pPr>
          </w:p>
        </w:tc>
      </w:tr>
      <w:tr w:rsidR="00E972EC" w:rsidRPr="00AA3BB0" w14:paraId="297DE12B" w14:textId="77777777" w:rsidTr="00D44EA0">
        <w:trPr>
          <w:gridAfter w:val="1"/>
          <w:wAfter w:w="6" w:type="dxa"/>
          <w:trHeight w:val="331"/>
        </w:trPr>
        <w:tc>
          <w:tcPr>
            <w:tcW w:w="1331" w:type="dxa"/>
            <w:tcBorders>
              <w:top w:val="single" w:sz="6" w:space="0" w:color="auto"/>
              <w:left w:val="single" w:sz="6" w:space="0" w:color="auto"/>
              <w:bottom w:val="single" w:sz="6" w:space="0" w:color="auto"/>
              <w:right w:val="single" w:sz="6" w:space="0" w:color="auto"/>
            </w:tcBorders>
            <w:vAlign w:val="center"/>
            <w:hideMark/>
          </w:tcPr>
          <w:p w14:paraId="07F5FFE6" w14:textId="77777777" w:rsidR="00E972EC" w:rsidRPr="00633FDB" w:rsidRDefault="00E972EC" w:rsidP="00D44EA0">
            <w:pPr>
              <w:jc w:val="center"/>
              <w:rPr>
                <w:sz w:val="22"/>
                <w:szCs w:val="22"/>
              </w:rPr>
            </w:pPr>
            <w:r w:rsidRPr="00633FDB">
              <w:rPr>
                <w:sz w:val="22"/>
                <w:szCs w:val="22"/>
              </w:rPr>
              <w:t>4</w:t>
            </w:r>
          </w:p>
        </w:tc>
        <w:tc>
          <w:tcPr>
            <w:tcW w:w="665" w:type="dxa"/>
            <w:tcBorders>
              <w:top w:val="single" w:sz="6" w:space="0" w:color="auto"/>
              <w:left w:val="single" w:sz="6" w:space="0" w:color="auto"/>
              <w:bottom w:val="single" w:sz="6" w:space="0" w:color="auto"/>
              <w:right w:val="single" w:sz="6" w:space="0" w:color="auto"/>
            </w:tcBorders>
            <w:vAlign w:val="center"/>
            <w:hideMark/>
          </w:tcPr>
          <w:p w14:paraId="0366CD96" w14:textId="77777777" w:rsidR="00E972EC" w:rsidRPr="00633FDB" w:rsidRDefault="00E972EC" w:rsidP="00D44EA0">
            <w:pPr>
              <w:jc w:val="center"/>
              <w:rPr>
                <w:sz w:val="22"/>
                <w:szCs w:val="22"/>
              </w:rPr>
            </w:pPr>
          </w:p>
        </w:tc>
        <w:tc>
          <w:tcPr>
            <w:tcW w:w="665" w:type="dxa"/>
            <w:tcBorders>
              <w:top w:val="single" w:sz="6" w:space="0" w:color="auto"/>
              <w:left w:val="single" w:sz="6" w:space="0" w:color="auto"/>
              <w:bottom w:val="single" w:sz="6" w:space="0" w:color="auto"/>
              <w:right w:val="single" w:sz="6" w:space="0" w:color="auto"/>
            </w:tcBorders>
            <w:vAlign w:val="center"/>
            <w:hideMark/>
          </w:tcPr>
          <w:p w14:paraId="19E99B5B"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31F9BDD0" w14:textId="77777777" w:rsidR="00E972EC" w:rsidRPr="00633FDB" w:rsidRDefault="00E972EC" w:rsidP="00D44EA0">
            <w:pPr>
              <w:jc w:val="center"/>
              <w:rPr>
                <w:sz w:val="22"/>
                <w:szCs w:val="22"/>
              </w:rPr>
            </w:pPr>
          </w:p>
        </w:tc>
        <w:tc>
          <w:tcPr>
            <w:tcW w:w="685" w:type="dxa"/>
            <w:tcBorders>
              <w:top w:val="single" w:sz="6" w:space="0" w:color="auto"/>
              <w:left w:val="single" w:sz="6" w:space="0" w:color="auto"/>
              <w:bottom w:val="single" w:sz="6" w:space="0" w:color="auto"/>
              <w:right w:val="single" w:sz="6" w:space="0" w:color="auto"/>
            </w:tcBorders>
            <w:vAlign w:val="center"/>
            <w:hideMark/>
          </w:tcPr>
          <w:p w14:paraId="54F3A08A"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2162AF04"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vAlign w:val="center"/>
            <w:hideMark/>
          </w:tcPr>
          <w:p w14:paraId="61E100F8"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0FEF261A" w14:textId="77777777" w:rsidR="00E972EC" w:rsidRPr="00633FDB" w:rsidRDefault="00E972EC" w:rsidP="00D44EA0">
            <w:pPr>
              <w:jc w:val="center"/>
              <w:rPr>
                <w:sz w:val="22"/>
                <w:szCs w:val="22"/>
              </w:rPr>
            </w:pPr>
          </w:p>
        </w:tc>
        <w:tc>
          <w:tcPr>
            <w:tcW w:w="685"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64957E86"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5623B4AB"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32D6E3BB" w14:textId="77777777" w:rsidR="00E972EC" w:rsidRPr="00633FDB" w:rsidRDefault="00E972EC" w:rsidP="00D44EA0">
            <w:pPr>
              <w:jc w:val="center"/>
              <w:rPr>
                <w:sz w:val="22"/>
                <w:szCs w:val="22"/>
              </w:rPr>
            </w:pPr>
          </w:p>
        </w:tc>
        <w:tc>
          <w:tcPr>
            <w:tcW w:w="666"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78EB4E14" w14:textId="77777777" w:rsidR="00E972EC" w:rsidRPr="00633FDB" w:rsidRDefault="00E972EC" w:rsidP="00D44EA0">
            <w:pPr>
              <w:jc w:val="center"/>
              <w:rPr>
                <w:sz w:val="22"/>
                <w:szCs w:val="22"/>
              </w:rPr>
            </w:pPr>
          </w:p>
        </w:tc>
        <w:tc>
          <w:tcPr>
            <w:tcW w:w="700" w:type="dxa"/>
            <w:tcBorders>
              <w:top w:val="single" w:sz="6" w:space="0" w:color="auto"/>
              <w:left w:val="single" w:sz="6" w:space="0" w:color="auto"/>
              <w:bottom w:val="single" w:sz="6" w:space="0" w:color="auto"/>
              <w:right w:val="single" w:sz="6" w:space="0" w:color="auto"/>
            </w:tcBorders>
            <w:shd w:val="clear" w:color="auto" w:fill="92D050"/>
            <w:vAlign w:val="center"/>
            <w:hideMark/>
          </w:tcPr>
          <w:p w14:paraId="761F4A9A" w14:textId="77777777" w:rsidR="00E972EC" w:rsidRPr="00633FDB" w:rsidRDefault="00E972EC" w:rsidP="00D44EA0">
            <w:pPr>
              <w:jc w:val="center"/>
              <w:rPr>
                <w:sz w:val="22"/>
                <w:szCs w:val="22"/>
              </w:rPr>
            </w:pPr>
          </w:p>
        </w:tc>
      </w:tr>
    </w:tbl>
    <w:p w14:paraId="5D3405C3" w14:textId="77777777" w:rsidR="00E972EC" w:rsidRPr="00AA3BB0" w:rsidRDefault="00E972EC" w:rsidP="00E972EC">
      <w:pPr>
        <w:rPr>
          <w:lang w:eastAsia="ko-KR"/>
        </w:rPr>
      </w:pPr>
    </w:p>
    <w:p w14:paraId="2FCDED32" w14:textId="77777777" w:rsidR="00E972EC" w:rsidRPr="00AA3BB0" w:rsidRDefault="00E972EC" w:rsidP="00E972EC">
      <w:pPr>
        <w:rPr>
          <w:rFonts w:ascii="Calibri" w:hAnsi="Calibri" w:cs="Calibri"/>
          <w:b/>
          <w:bCs/>
          <w:u w:val="single"/>
          <w:lang w:eastAsia="ko-KR"/>
        </w:rPr>
      </w:pPr>
      <w:r w:rsidRPr="00AA3BB0">
        <w:rPr>
          <w:rFonts w:ascii="Calibri" w:hAnsi="Calibri" w:cs="Calibri" w:hint="eastAsia"/>
          <w:b/>
          <w:bCs/>
          <w:u w:val="single"/>
          <w:lang w:eastAsia="ko-KR"/>
        </w:rPr>
        <w:t>References</w:t>
      </w:r>
    </w:p>
    <w:p w14:paraId="7DAAB077" w14:textId="77777777" w:rsidR="00E972EC" w:rsidRDefault="00E972EC">
      <w:pPr>
        <w:rPr>
          <w:rFonts w:ascii="Calibri" w:hAnsi="Calibri" w:cs="Calibri"/>
          <w:u w:val="single"/>
          <w:lang w:eastAsia="ko-KR"/>
        </w:rPr>
      </w:pPr>
    </w:p>
    <w:p w14:paraId="69686577" w14:textId="77777777" w:rsidR="004B391A" w:rsidRPr="00421F76" w:rsidRDefault="004B391A" w:rsidP="004B391A">
      <w:pPr>
        <w:pStyle w:val="Bibliography"/>
        <w:jc w:val="both"/>
        <w:rPr>
          <w:sz w:val="22"/>
          <w:szCs w:val="22"/>
        </w:rPr>
      </w:pPr>
      <w:r w:rsidRPr="00421F76">
        <w:rPr>
          <w:sz w:val="22"/>
          <w:szCs w:val="22"/>
          <w:u w:val="single"/>
          <w:lang w:eastAsia="ko-KR"/>
        </w:rPr>
        <w:fldChar w:fldCharType="begin"/>
      </w:r>
      <w:r w:rsidRPr="00421F76">
        <w:rPr>
          <w:sz w:val="22"/>
          <w:szCs w:val="22"/>
          <w:u w:val="single"/>
          <w:lang w:eastAsia="ko-KR"/>
        </w:rPr>
        <w:instrText xml:space="preserve"> ADDIN ZOTERO_BIBL {"uncited":[],"omitted":[],"custom":[]} CSL_BIBLIOGRAPHY </w:instrText>
      </w:r>
      <w:r w:rsidRPr="00421F76">
        <w:rPr>
          <w:sz w:val="22"/>
          <w:szCs w:val="22"/>
          <w:u w:val="single"/>
          <w:lang w:eastAsia="ko-KR"/>
        </w:rPr>
        <w:fldChar w:fldCharType="separate"/>
      </w:r>
      <w:r w:rsidRPr="00421F76">
        <w:rPr>
          <w:sz w:val="22"/>
          <w:szCs w:val="22"/>
        </w:rPr>
        <w:t>[1]</w:t>
      </w:r>
      <w:r w:rsidRPr="00421F76">
        <w:rPr>
          <w:sz w:val="22"/>
          <w:szCs w:val="22"/>
        </w:rPr>
        <w:tab/>
        <w:t xml:space="preserve">M. F. L’Annunziata, “Chapter 17 - cherenkov radiation,” in </w:t>
      </w:r>
      <w:r w:rsidRPr="00421F76">
        <w:rPr>
          <w:i/>
          <w:iCs/>
          <w:sz w:val="22"/>
          <w:szCs w:val="22"/>
        </w:rPr>
        <w:t>Radioactivity (third edition)</w:t>
      </w:r>
      <w:r w:rsidRPr="00421F76">
        <w:rPr>
          <w:sz w:val="22"/>
          <w:szCs w:val="22"/>
        </w:rPr>
        <w:t>, Third Edition., M. F. L’Annunziata, Ed., Boston: Elsevier, 2023, pp. 823–864. doi: https://doi.org/10.1016/B978-0-323-90440-7.00009-0.</w:t>
      </w:r>
    </w:p>
    <w:p w14:paraId="65096683" w14:textId="77777777" w:rsidR="004B391A" w:rsidRPr="00421F76" w:rsidRDefault="004B391A" w:rsidP="004B391A">
      <w:pPr>
        <w:pStyle w:val="Bibliography"/>
        <w:jc w:val="both"/>
        <w:rPr>
          <w:sz w:val="22"/>
          <w:szCs w:val="22"/>
        </w:rPr>
      </w:pPr>
      <w:r w:rsidRPr="00421F76">
        <w:rPr>
          <w:sz w:val="22"/>
          <w:szCs w:val="22"/>
        </w:rPr>
        <w:t>[2]</w:t>
      </w:r>
      <w:r w:rsidRPr="00421F76">
        <w:rPr>
          <w:sz w:val="22"/>
          <w:szCs w:val="22"/>
        </w:rPr>
        <w:tab/>
        <w:t>“University of Texas at Austin TRIGA Research Reactor Safety Analysis Report: Updated Safety Analysis Report in Support of the License Renewal Application (Redacted Version),” Nuclear Engineering Teaching Laboratory, The University of Texas at Austin, License No. R-129, Docket No. 50-602, Aug. 2023.</w:t>
      </w:r>
    </w:p>
    <w:p w14:paraId="34AE9917" w14:textId="77777777" w:rsidR="004B391A" w:rsidRPr="00421F76" w:rsidRDefault="004B391A" w:rsidP="004B391A">
      <w:pPr>
        <w:pStyle w:val="Bibliography"/>
        <w:jc w:val="both"/>
        <w:rPr>
          <w:sz w:val="22"/>
          <w:szCs w:val="22"/>
        </w:rPr>
      </w:pPr>
      <w:r w:rsidRPr="00421F76">
        <w:rPr>
          <w:sz w:val="22"/>
          <w:szCs w:val="22"/>
        </w:rPr>
        <w:t>[3]</w:t>
      </w:r>
      <w:r w:rsidRPr="00421F76">
        <w:rPr>
          <w:sz w:val="22"/>
          <w:szCs w:val="22"/>
        </w:rPr>
        <w:tab/>
        <w:t xml:space="preserve">J. A. Kulesza </w:t>
      </w:r>
      <w:r w:rsidRPr="00421F76">
        <w:rPr>
          <w:i/>
          <w:iCs/>
          <w:sz w:val="22"/>
          <w:szCs w:val="22"/>
        </w:rPr>
        <w:t>et al.</w:t>
      </w:r>
      <w:r w:rsidRPr="00421F76">
        <w:rPr>
          <w:sz w:val="22"/>
          <w:szCs w:val="22"/>
        </w:rPr>
        <w:t>, “MCNP</w:t>
      </w:r>
      <w:r w:rsidRPr="00421F76">
        <w:rPr>
          <w:sz w:val="22"/>
          <w:szCs w:val="22"/>
          <w:vertAlign w:val="superscript"/>
        </w:rPr>
        <w:t>®</w:t>
      </w:r>
      <w:r w:rsidRPr="00421F76">
        <w:rPr>
          <w:sz w:val="22"/>
          <w:szCs w:val="22"/>
        </w:rPr>
        <w:t xml:space="preserve"> code version 6.3.1 theory &amp; user manual,” Los Alamos National Laboratory, Los Alamos, NM, USA, LA-UR-24-24602, Rev. 1, May 2024.</w:t>
      </w:r>
    </w:p>
    <w:p w14:paraId="2933D79B" w14:textId="77777777" w:rsidR="004B391A" w:rsidRPr="00421F76" w:rsidRDefault="004B391A" w:rsidP="004B391A">
      <w:pPr>
        <w:pStyle w:val="Bibliography"/>
        <w:jc w:val="both"/>
        <w:rPr>
          <w:sz w:val="22"/>
          <w:szCs w:val="22"/>
        </w:rPr>
      </w:pPr>
      <w:r w:rsidRPr="00421F76">
        <w:rPr>
          <w:sz w:val="22"/>
          <w:szCs w:val="22"/>
        </w:rPr>
        <w:t>[4]</w:t>
      </w:r>
      <w:r w:rsidRPr="00421F76">
        <w:rPr>
          <w:sz w:val="22"/>
          <w:szCs w:val="22"/>
        </w:rPr>
        <w:tab/>
        <w:t>B. K. Kochunas, B. S. Collins, S. G. Stimpson, D. E. Jabaay, and others, “VERA core simulator: MPACT user’s manual,” Consortium for Advanced Simulation of Light Water Reactors (CASL), Oak Ridge, TN, CASL-U-2016-1094-000, 2016.</w:t>
      </w:r>
    </w:p>
    <w:p w14:paraId="767F05FE" w14:textId="77777777" w:rsidR="00A4155C" w:rsidRDefault="004B391A" w:rsidP="6A38D438">
      <w:pPr>
        <w:rPr>
          <w:rFonts w:ascii="Calibri" w:hAnsi="Calibri" w:cs="Calibri"/>
          <w:u w:val="single"/>
          <w:lang w:eastAsia="ko-KR"/>
        </w:rPr>
      </w:pPr>
      <w:r w:rsidRPr="00421F76">
        <w:rPr>
          <w:rFonts w:ascii="Calibri" w:hAnsi="Calibri" w:cs="Calibri"/>
          <w:sz w:val="22"/>
          <w:szCs w:val="22"/>
          <w:u w:val="single"/>
          <w:lang w:eastAsia="ko-KR"/>
        </w:rPr>
        <w:fldChar w:fldCharType="end"/>
      </w:r>
    </w:p>
    <w:p w14:paraId="52556165" w14:textId="77777777" w:rsidR="00E04BBF" w:rsidRDefault="00E04BBF">
      <w:pPr>
        <w:rPr>
          <w:rFonts w:ascii="Calibri" w:eastAsia="Calibri" w:hAnsi="Calibri" w:cs="Calibri"/>
          <w:b/>
          <w:bCs/>
        </w:rPr>
      </w:pPr>
      <w:r>
        <w:rPr>
          <w:rFonts w:ascii="Calibri" w:eastAsia="Calibri" w:hAnsi="Calibri" w:cs="Calibri"/>
          <w:b/>
          <w:bCs/>
        </w:rPr>
        <w:br w:type="page"/>
      </w:r>
    </w:p>
    <w:p w14:paraId="25994B71" w14:textId="0793F61D" w:rsidR="6A38D438" w:rsidRDefault="6A38D438" w:rsidP="6A38D438">
      <w:r w:rsidRPr="6A38D438">
        <w:rPr>
          <w:rFonts w:ascii="Calibri" w:eastAsia="Calibri" w:hAnsi="Calibri" w:cs="Calibri"/>
          <w:b/>
          <w:bCs/>
        </w:rPr>
        <w:lastRenderedPageBreak/>
        <w:t>University of Texas (Lead, TRIGA application)</w:t>
      </w:r>
    </w:p>
    <w:p w14:paraId="7E236683" w14:textId="19AAED58" w:rsidR="6A38D438" w:rsidRDefault="007C06A2" w:rsidP="6A38D438">
      <w:pPr>
        <w:pStyle w:val="ListParagraph"/>
        <w:numPr>
          <w:ilvl w:val="0"/>
          <w:numId w:val="2"/>
        </w:numPr>
        <w:rPr>
          <w:rFonts w:ascii="Calibri" w:eastAsia="Calibri" w:hAnsi="Calibri" w:cs="Calibri"/>
        </w:rPr>
      </w:pPr>
      <w:r w:rsidRPr="007C06A2">
        <w:rPr>
          <w:rFonts w:ascii="Calibri" w:eastAsia="Calibri" w:hAnsi="Calibri" w:cs="Calibri"/>
        </w:rPr>
        <w:t>Lead overall project direction and experimental design</w:t>
      </w:r>
    </w:p>
    <w:p w14:paraId="18990C69" w14:textId="6B85F28C" w:rsidR="6A38D438" w:rsidRDefault="007C06A2" w:rsidP="6A38D438">
      <w:pPr>
        <w:pStyle w:val="ListParagraph"/>
        <w:numPr>
          <w:ilvl w:val="0"/>
          <w:numId w:val="2"/>
        </w:numPr>
        <w:rPr>
          <w:rFonts w:ascii="Calibri" w:eastAsia="Calibri" w:hAnsi="Calibri" w:cs="Calibri"/>
        </w:rPr>
      </w:pPr>
      <w:r w:rsidRPr="007C06A2">
        <w:rPr>
          <w:rFonts w:ascii="Calibri" w:eastAsia="Calibri" w:hAnsi="Calibri" w:cs="Calibri"/>
        </w:rPr>
        <w:t>Conduct Cherenkov experiments at the UT TRIGA reactor</w:t>
      </w:r>
    </w:p>
    <w:p w14:paraId="45A0B100" w14:textId="3B30C7C7" w:rsidR="6A38D438" w:rsidRDefault="007C06A2" w:rsidP="6A38D438">
      <w:pPr>
        <w:pStyle w:val="ListParagraph"/>
        <w:numPr>
          <w:ilvl w:val="0"/>
          <w:numId w:val="2"/>
        </w:numPr>
        <w:rPr>
          <w:rFonts w:ascii="Calibri" w:eastAsia="Calibri" w:hAnsi="Calibri" w:cs="Calibri"/>
        </w:rPr>
      </w:pPr>
      <w:r w:rsidRPr="007C06A2">
        <w:rPr>
          <w:rFonts w:ascii="Calibri" w:eastAsia="Calibri" w:hAnsi="Calibri" w:cs="Calibri"/>
        </w:rPr>
        <w:t>Develop data processing, modeling, and validation workflows</w:t>
      </w:r>
    </w:p>
    <w:p w14:paraId="1F6B3299" w14:textId="04FF674E" w:rsidR="6A38D438" w:rsidRDefault="007C06A2" w:rsidP="6A38D438">
      <w:pPr>
        <w:pStyle w:val="ListParagraph"/>
        <w:numPr>
          <w:ilvl w:val="0"/>
          <w:numId w:val="2"/>
        </w:numPr>
        <w:rPr>
          <w:rFonts w:ascii="Calibri" w:eastAsia="Calibri" w:hAnsi="Calibri" w:cs="Calibri"/>
        </w:rPr>
      </w:pPr>
      <w:r w:rsidRPr="007C06A2">
        <w:rPr>
          <w:rFonts w:ascii="Calibri" w:eastAsia="Calibri" w:hAnsi="Calibri" w:cs="Calibri"/>
        </w:rPr>
        <w:t>Demonstrate operational relevance, cost reduction, and performance benefits</w:t>
      </w:r>
    </w:p>
    <w:p w14:paraId="192E8263" w14:textId="77777777" w:rsidR="00CE5C44" w:rsidRDefault="00CE5C44" w:rsidP="6A38D438">
      <w:pPr>
        <w:rPr>
          <w:rFonts w:ascii="Calibri" w:hAnsi="Calibri" w:cs="Calibri"/>
          <w:b/>
          <w:bCs/>
          <w:lang w:eastAsia="ko-KR"/>
        </w:rPr>
      </w:pPr>
    </w:p>
    <w:p w14:paraId="1BCE3EA0" w14:textId="42DFF044" w:rsidR="00A4155C" w:rsidRDefault="00A4155C" w:rsidP="6A38D438">
      <w:pPr>
        <w:rPr>
          <w:rFonts w:ascii="Calibri" w:hAnsi="Calibri" w:cs="Calibri"/>
          <w:b/>
          <w:bCs/>
          <w:lang w:eastAsia="ko-KR"/>
        </w:rPr>
      </w:pPr>
      <w:r>
        <w:rPr>
          <w:rFonts w:ascii="Calibri" w:hAnsi="Calibri" w:cs="Calibri" w:hint="eastAsia"/>
          <w:b/>
          <w:bCs/>
          <w:lang w:eastAsia="ko-KR"/>
        </w:rPr>
        <w:t>William S. Charlton</w:t>
      </w:r>
    </w:p>
    <w:p w14:paraId="45B98E06" w14:textId="77777777" w:rsidR="00A4155C" w:rsidRDefault="00A4155C" w:rsidP="6A38D438">
      <w:pPr>
        <w:rPr>
          <w:rFonts w:ascii="Calibri" w:hAnsi="Calibri" w:cs="Calibri"/>
          <w:b/>
          <w:bCs/>
          <w:lang w:eastAsia="ko-KR"/>
        </w:rPr>
      </w:pPr>
    </w:p>
    <w:p w14:paraId="23001A52" w14:textId="77777777" w:rsidR="00744253" w:rsidRDefault="00744253" w:rsidP="00744253">
      <w:pPr>
        <w:jc w:val="both"/>
        <w:rPr>
          <w:rFonts w:ascii="Calibri" w:hAnsi="Calibri" w:cs="Calibri"/>
          <w:lang w:eastAsia="ko-KR"/>
        </w:rPr>
      </w:pPr>
      <w:r w:rsidRPr="00744253">
        <w:rPr>
          <w:rFonts w:ascii="Calibri" w:hAnsi="Calibri" w:cs="Calibri"/>
          <w:lang w:eastAsia="ko-KR"/>
        </w:rPr>
        <w:t xml:space="preserve">Dr. William S. Charlton is the Director of the Nuclear Engineering Teaching Laboratory (NETL) and the John J. </w:t>
      </w:r>
      <w:proofErr w:type="spellStart"/>
      <w:r w:rsidRPr="00744253">
        <w:rPr>
          <w:rFonts w:ascii="Calibri" w:hAnsi="Calibri" w:cs="Calibri"/>
          <w:lang w:eastAsia="ko-KR"/>
        </w:rPr>
        <w:t>McKetta</w:t>
      </w:r>
      <w:proofErr w:type="spellEnd"/>
      <w:r w:rsidRPr="00744253">
        <w:rPr>
          <w:rFonts w:ascii="Calibri" w:hAnsi="Calibri" w:cs="Calibri"/>
          <w:lang w:eastAsia="ko-KR"/>
        </w:rPr>
        <w:t xml:space="preserve"> Energy Professor at the University of Texas at Austin. Since joining the faculty in 2018, he has overseen the university’s advanced nuclear research facilities, including the TRIGA Mark II research reactor. A recognized expert in nuclear science and national security, his work focuses on nuclear nonproliferation, deterrence, and security system analysis.</w:t>
      </w:r>
    </w:p>
    <w:p w14:paraId="1AF6BCDA" w14:textId="77777777" w:rsidR="00744253" w:rsidRPr="00744253" w:rsidRDefault="00744253" w:rsidP="00744253">
      <w:pPr>
        <w:jc w:val="both"/>
        <w:rPr>
          <w:rFonts w:ascii="Calibri" w:hAnsi="Calibri" w:cs="Calibri"/>
          <w:lang w:eastAsia="ko-KR"/>
        </w:rPr>
      </w:pPr>
    </w:p>
    <w:p w14:paraId="55FE7722" w14:textId="77777777" w:rsidR="00744253" w:rsidRPr="00744253" w:rsidRDefault="00744253" w:rsidP="00744253">
      <w:pPr>
        <w:jc w:val="both"/>
        <w:rPr>
          <w:rFonts w:ascii="Calibri" w:hAnsi="Calibri" w:cs="Calibri"/>
          <w:lang w:eastAsia="ko-KR"/>
        </w:rPr>
      </w:pPr>
      <w:r w:rsidRPr="00744253">
        <w:rPr>
          <w:rFonts w:ascii="Calibri" w:hAnsi="Calibri" w:cs="Calibri"/>
          <w:lang w:eastAsia="ko-KR"/>
        </w:rPr>
        <w:t>His distinguished career includes serving as the Research Director for the National Strategic Research Institute at the University of Nebraska and as the founding Director of the Nuclear Security Science &amp; Policy Institute (NSSPI) at Texas A&amp;M University. Dr. Charlton’s technical expertise spans over 20 years, during which he has led major research initiatives for the NNSA, DHS, and DoD. He has authored over 200 technical publications and received numerous awards, including the INMM Special Service Award. He holds B.S., M.S., and Ph.D. degrees in Nuclear Engineering from Texas A&amp;M University.</w:t>
      </w:r>
    </w:p>
    <w:p w14:paraId="023A7C5B" w14:textId="77777777" w:rsidR="00A4155C" w:rsidRDefault="00A4155C" w:rsidP="6A38D438">
      <w:pPr>
        <w:rPr>
          <w:rFonts w:ascii="Calibri" w:hAnsi="Calibri" w:cs="Calibri"/>
          <w:b/>
          <w:bCs/>
          <w:lang w:eastAsia="ko-KR"/>
        </w:rPr>
      </w:pPr>
    </w:p>
    <w:p w14:paraId="07B47D57" w14:textId="5EED76B8" w:rsidR="007F6938" w:rsidRPr="007F6938" w:rsidRDefault="007F6938" w:rsidP="00B64FC0">
      <w:pPr>
        <w:rPr>
          <w:rFonts w:ascii="Calibri" w:hAnsi="Calibri" w:cs="Calibri"/>
          <w:b/>
          <w:bCs/>
          <w:iCs/>
          <w:lang w:eastAsia="ko-KR"/>
        </w:rPr>
      </w:pPr>
      <w:r w:rsidRPr="007F6938">
        <w:rPr>
          <w:rFonts w:ascii="Calibri" w:hAnsi="Calibri" w:cs="Calibri" w:hint="eastAsia"/>
          <w:b/>
          <w:bCs/>
          <w:iCs/>
          <w:lang w:eastAsia="ko-KR"/>
        </w:rPr>
        <w:t>Jeongwon Seo</w:t>
      </w:r>
    </w:p>
    <w:p w14:paraId="5F5BFFFB" w14:textId="77777777" w:rsidR="007F6938" w:rsidRDefault="007F6938" w:rsidP="00B64FC0">
      <w:pPr>
        <w:rPr>
          <w:rFonts w:ascii="Calibri" w:hAnsi="Calibri" w:cs="Calibri"/>
          <w:iCs/>
          <w:lang w:eastAsia="ko-KR"/>
        </w:rPr>
      </w:pPr>
    </w:p>
    <w:p w14:paraId="6DE8711F" w14:textId="6432B0C6" w:rsidR="00B64FC0" w:rsidRPr="00B64FC0" w:rsidRDefault="00B64FC0" w:rsidP="007F6938">
      <w:pPr>
        <w:jc w:val="both"/>
        <w:rPr>
          <w:rFonts w:ascii="Calibri" w:hAnsi="Calibri" w:cs="Calibri"/>
          <w:iCs/>
          <w:lang w:eastAsia="ko-KR"/>
        </w:rPr>
      </w:pPr>
      <w:r w:rsidRPr="00B64FC0">
        <w:rPr>
          <w:rFonts w:ascii="Calibri" w:hAnsi="Calibri" w:cs="Calibri"/>
          <w:iCs/>
          <w:lang w:eastAsia="ko-KR"/>
        </w:rPr>
        <w:t>Dr. Jeongwon Seo is Postdoctoral Fellow at the University of Texas at Austin, specializing in the study of Nuclear Reactor Digital Twins</w:t>
      </w:r>
      <w:r w:rsidRPr="00B64FC0">
        <w:rPr>
          <w:rFonts w:ascii="Calibri" w:hAnsi="Calibri" w:cs="Calibri" w:hint="eastAsia"/>
          <w:iCs/>
          <w:lang w:eastAsia="ko-KR"/>
        </w:rPr>
        <w:t xml:space="preserve">, </w:t>
      </w:r>
      <w:r w:rsidRPr="00B64FC0">
        <w:rPr>
          <w:rFonts w:ascii="Calibri" w:hAnsi="Calibri" w:cs="Calibri"/>
          <w:iCs/>
          <w:lang w:eastAsia="ko-KR"/>
        </w:rPr>
        <w:t>Machine-Learning-based Reduced Order Modeling</w:t>
      </w:r>
      <w:r w:rsidRPr="00B64FC0">
        <w:rPr>
          <w:rFonts w:ascii="Calibri" w:hAnsi="Calibri" w:cs="Calibri" w:hint="eastAsia"/>
          <w:iCs/>
          <w:lang w:eastAsia="ko-KR"/>
        </w:rPr>
        <w:t xml:space="preserve"> (ROM), and Verification, Validation, and Uncertainty Quantification (VVUQ)</w:t>
      </w:r>
      <w:r w:rsidRPr="00B64FC0">
        <w:rPr>
          <w:rFonts w:ascii="Calibri" w:hAnsi="Calibri" w:cs="Calibri"/>
          <w:iCs/>
          <w:lang w:eastAsia="ko-KR"/>
        </w:rPr>
        <w:t>.</w:t>
      </w:r>
      <w:r w:rsidRPr="00B64FC0">
        <w:rPr>
          <w:rFonts w:ascii="Calibri" w:hAnsi="Calibri" w:cs="Calibri" w:hint="eastAsia"/>
          <w:iCs/>
          <w:lang w:eastAsia="ko-KR"/>
        </w:rPr>
        <w:t xml:space="preserve"> </w:t>
      </w:r>
      <w:r w:rsidRPr="00B64FC0">
        <w:rPr>
          <w:rFonts w:ascii="Calibri" w:hAnsi="Calibri" w:cs="Calibri"/>
          <w:iCs/>
          <w:lang w:eastAsia="ko-KR"/>
        </w:rPr>
        <w:t>He earned his Ph.D. in Nuclear Engineering from Purdue University, where his research focused on bridging the gap between high-fidelity physics simulations and real-time operational requirements through innovative AI methodologies.</w:t>
      </w:r>
    </w:p>
    <w:p w14:paraId="09489386" w14:textId="77777777" w:rsidR="00B64FC0" w:rsidRPr="00B64FC0" w:rsidRDefault="00B64FC0" w:rsidP="007F6938">
      <w:pPr>
        <w:jc w:val="both"/>
        <w:rPr>
          <w:rFonts w:ascii="Calibri" w:hAnsi="Calibri" w:cs="Calibri"/>
          <w:iCs/>
          <w:lang w:eastAsia="ko-KR"/>
        </w:rPr>
      </w:pPr>
    </w:p>
    <w:p w14:paraId="40502677" w14:textId="77777777" w:rsidR="00B64FC0" w:rsidRPr="00B64FC0" w:rsidRDefault="00B64FC0" w:rsidP="007F6938">
      <w:pPr>
        <w:jc w:val="both"/>
        <w:rPr>
          <w:rFonts w:ascii="Calibri" w:hAnsi="Calibri" w:cs="Calibri"/>
          <w:iCs/>
          <w:lang w:eastAsia="ko-KR"/>
        </w:rPr>
      </w:pPr>
      <w:r w:rsidRPr="00B64FC0">
        <w:rPr>
          <w:rFonts w:ascii="Calibri" w:hAnsi="Calibri" w:cs="Calibri"/>
          <w:iCs/>
          <w:lang w:eastAsia="ko-KR"/>
        </w:rPr>
        <w:t xml:space="preserve">Prior to his current role, Dr. Seo developed expertise in reactor physics and data-driven modeling during his doctoral studies at Purdue University. He also holds an M.S. in Nuclear Physics (with honors) from Lomonosov Moscow State University and a B.A. in Applied Chemistry from the Korea Military Academy. His research involved the development of novel regression frameworks using </w:t>
      </w:r>
      <w:proofErr w:type="spellStart"/>
      <w:r w:rsidRPr="00B64FC0">
        <w:rPr>
          <w:rFonts w:ascii="Calibri" w:hAnsi="Calibri" w:cs="Calibri"/>
          <w:iCs/>
          <w:lang w:eastAsia="ko-KR"/>
        </w:rPr>
        <w:t>Softmax</w:t>
      </w:r>
      <w:proofErr w:type="spellEnd"/>
      <w:r w:rsidRPr="00B64FC0">
        <w:rPr>
          <w:rFonts w:ascii="Calibri" w:hAnsi="Calibri" w:cs="Calibri"/>
          <w:iCs/>
          <w:lang w:eastAsia="ko-KR"/>
        </w:rPr>
        <w:t xml:space="preserve">-based Deep Neural Networks, specifically designed to enhance interpretability and physical consistency in nuclear applications. </w:t>
      </w:r>
    </w:p>
    <w:p w14:paraId="5DE07234" w14:textId="77777777" w:rsidR="00B64FC0" w:rsidRPr="00B64FC0" w:rsidRDefault="00B64FC0" w:rsidP="007F6938">
      <w:pPr>
        <w:jc w:val="both"/>
        <w:rPr>
          <w:rFonts w:ascii="Calibri" w:hAnsi="Calibri" w:cs="Calibri"/>
          <w:iCs/>
          <w:lang w:eastAsia="ko-KR"/>
        </w:rPr>
      </w:pPr>
    </w:p>
    <w:p w14:paraId="068A1FF8" w14:textId="77777777" w:rsidR="00B64FC0" w:rsidRPr="00B64FC0" w:rsidRDefault="00B64FC0" w:rsidP="007F6938">
      <w:pPr>
        <w:jc w:val="both"/>
        <w:rPr>
          <w:rFonts w:ascii="Calibri" w:hAnsi="Calibri" w:cs="Calibri"/>
          <w:iCs/>
          <w:lang w:eastAsia="ko-KR"/>
        </w:rPr>
      </w:pPr>
      <w:r w:rsidRPr="00B64FC0">
        <w:rPr>
          <w:rFonts w:ascii="Calibri" w:hAnsi="Calibri" w:cs="Calibri"/>
          <w:iCs/>
          <w:lang w:eastAsia="ko-KR"/>
        </w:rPr>
        <w:t>Dr. Seo’s professional background is distinguished by his experience with a wide array of industry-standard nuclear codes and high-performance computing. He has successfully led the development of the TRIGA Digital Twin web application at UT Austin, establishing real-time data pipelines that leverage the TACC LoneStar6 supercomputer for large-scale synthetic data generation and GPU-accelerated training.</w:t>
      </w:r>
    </w:p>
    <w:p w14:paraId="23547ED6" w14:textId="77777777" w:rsidR="00CE5C44" w:rsidRDefault="00CE5C44" w:rsidP="6A38D438">
      <w:pPr>
        <w:rPr>
          <w:rFonts w:ascii="Calibri" w:hAnsi="Calibri" w:cs="Calibri"/>
          <w:b/>
          <w:bCs/>
          <w:lang w:eastAsia="ko-KR"/>
        </w:rPr>
      </w:pPr>
    </w:p>
    <w:p w14:paraId="4A1D60C8" w14:textId="7B92AD9B" w:rsidR="6A38D438" w:rsidRDefault="007C06A2" w:rsidP="6A38D438">
      <w:r>
        <w:rPr>
          <w:rFonts w:ascii="Calibri" w:hAnsi="Calibri" w:cs="Calibri" w:hint="eastAsia"/>
          <w:b/>
          <w:bCs/>
          <w:lang w:eastAsia="ko-KR"/>
        </w:rPr>
        <w:lastRenderedPageBreak/>
        <w:t>Idaho National Laboratory</w:t>
      </w:r>
      <w:r w:rsidR="6A38D438" w:rsidRPr="6A38D438">
        <w:rPr>
          <w:rFonts w:ascii="Calibri" w:eastAsia="Calibri" w:hAnsi="Calibri" w:cs="Calibri"/>
          <w:b/>
          <w:bCs/>
        </w:rPr>
        <w:t xml:space="preserve"> (</w:t>
      </w:r>
      <w:r w:rsidR="009E4A74">
        <w:rPr>
          <w:rFonts w:ascii="Calibri" w:hAnsi="Calibri" w:cs="Calibri" w:hint="eastAsia"/>
          <w:b/>
          <w:bCs/>
          <w:lang w:eastAsia="ko-KR"/>
        </w:rPr>
        <w:t>Collaborating Institution</w:t>
      </w:r>
      <w:r w:rsidR="6A38D438" w:rsidRPr="6A38D438">
        <w:rPr>
          <w:rFonts w:ascii="Calibri" w:eastAsia="Calibri" w:hAnsi="Calibri" w:cs="Calibri"/>
          <w:b/>
          <w:bCs/>
        </w:rPr>
        <w:t>)</w:t>
      </w:r>
    </w:p>
    <w:p w14:paraId="1E46C94D" w14:textId="3432DDCF" w:rsidR="6A38D438" w:rsidRDefault="007C06A2" w:rsidP="6A38D438">
      <w:pPr>
        <w:pStyle w:val="ListParagraph"/>
        <w:numPr>
          <w:ilvl w:val="0"/>
          <w:numId w:val="1"/>
        </w:numPr>
        <w:rPr>
          <w:rFonts w:ascii="Calibri" w:eastAsia="Calibri" w:hAnsi="Calibri" w:cs="Calibri"/>
        </w:rPr>
      </w:pPr>
      <w:r w:rsidRPr="007C06A2">
        <w:rPr>
          <w:rFonts w:ascii="Calibri" w:eastAsia="Calibri" w:hAnsi="Calibri" w:cs="Calibri"/>
        </w:rPr>
        <w:t xml:space="preserve">Provide access to a </w:t>
      </w:r>
      <w:r w:rsidRPr="009E4A74">
        <w:rPr>
          <w:rFonts w:ascii="Calibri" w:eastAsia="Calibri" w:hAnsi="Calibri" w:cs="Calibri"/>
        </w:rPr>
        <w:t>diverse portfolio of reactor types and facilities</w:t>
      </w:r>
    </w:p>
    <w:p w14:paraId="16DDFC0C" w14:textId="23D20635" w:rsidR="6A38D438" w:rsidRDefault="007C06A2" w:rsidP="6A38D438">
      <w:pPr>
        <w:pStyle w:val="ListParagraph"/>
        <w:numPr>
          <w:ilvl w:val="0"/>
          <w:numId w:val="1"/>
        </w:numPr>
        <w:rPr>
          <w:rFonts w:ascii="Calibri" w:eastAsia="Calibri" w:hAnsi="Calibri" w:cs="Calibri"/>
        </w:rPr>
      </w:pPr>
      <w:r w:rsidRPr="007C06A2">
        <w:rPr>
          <w:rFonts w:ascii="Calibri" w:eastAsia="Calibri" w:hAnsi="Calibri" w:cs="Calibri"/>
        </w:rPr>
        <w:t>Enable testing of Cherenkov-based monitoring concepts across multiple reactor classes</w:t>
      </w:r>
    </w:p>
    <w:p w14:paraId="55540B23" w14:textId="170B50AC" w:rsidR="6A38D438" w:rsidRPr="007C06A2" w:rsidRDefault="007C06A2" w:rsidP="6A38D438">
      <w:pPr>
        <w:pStyle w:val="ListParagraph"/>
        <w:numPr>
          <w:ilvl w:val="0"/>
          <w:numId w:val="1"/>
        </w:numPr>
        <w:rPr>
          <w:rFonts w:ascii="Calibri" w:eastAsia="Calibri" w:hAnsi="Calibri" w:cs="Calibri"/>
        </w:rPr>
      </w:pPr>
      <w:r w:rsidRPr="007C06A2">
        <w:rPr>
          <w:rFonts w:ascii="Calibri" w:eastAsia="Calibri" w:hAnsi="Calibri" w:cs="Calibri"/>
        </w:rPr>
        <w:t>Support evaluation of scalability, generalization, and deployment feasibility</w:t>
      </w:r>
    </w:p>
    <w:p w14:paraId="28FA71AA" w14:textId="7F47AD6D" w:rsidR="007C06A2" w:rsidRDefault="007C06A2" w:rsidP="6A38D438">
      <w:pPr>
        <w:pStyle w:val="ListParagraph"/>
        <w:numPr>
          <w:ilvl w:val="0"/>
          <w:numId w:val="1"/>
        </w:numPr>
        <w:rPr>
          <w:rFonts w:ascii="Calibri" w:eastAsia="Calibri" w:hAnsi="Calibri" w:cs="Calibri"/>
        </w:rPr>
      </w:pPr>
      <w:r w:rsidRPr="007C06A2">
        <w:rPr>
          <w:rFonts w:ascii="Calibri" w:eastAsia="Calibri" w:hAnsi="Calibri" w:cs="Calibri"/>
        </w:rPr>
        <w:t>Contribute comparative insights relevant to advanced and commercial reactor systems</w:t>
      </w:r>
    </w:p>
    <w:p w14:paraId="247B71FA" w14:textId="3D7792A6" w:rsidR="6A38D438" w:rsidRDefault="6A38D438"/>
    <w:p w14:paraId="3B9C6C9C" w14:textId="61599C42" w:rsidR="00D901EF" w:rsidRDefault="00D901EF">
      <w:pPr>
        <w:rPr>
          <w:iCs/>
        </w:rPr>
      </w:pPr>
    </w:p>
    <w:p w14:paraId="1128D5F2" w14:textId="4E3EA0A7" w:rsidR="00793E0F" w:rsidRPr="000837A6" w:rsidRDefault="00793E0F">
      <w:pPr>
        <w:rPr>
          <w:b/>
          <w:bCs/>
          <w:iCs/>
        </w:rPr>
      </w:pPr>
      <w:r w:rsidRPr="000837A6">
        <w:rPr>
          <w:b/>
          <w:bCs/>
          <w:iCs/>
        </w:rPr>
        <w:t>Ryan Stewart</w:t>
      </w:r>
    </w:p>
    <w:p w14:paraId="35E0CEB9" w14:textId="77777777" w:rsidR="00793E0F" w:rsidRDefault="00793E0F">
      <w:pPr>
        <w:rPr>
          <w:iCs/>
        </w:rPr>
      </w:pPr>
    </w:p>
    <w:p w14:paraId="3CD8F512" w14:textId="77777777" w:rsidR="00AC2DAB" w:rsidRDefault="00AC2DAB" w:rsidP="00AC2DAB">
      <w:pPr>
        <w:rPr>
          <w:iCs/>
        </w:rPr>
      </w:pPr>
      <w:r w:rsidRPr="00C92D3B">
        <w:rPr>
          <w:iCs/>
        </w:rPr>
        <w:t xml:space="preserve">Ryan Stewart is a Nuclear Engineer at Idaho National Laboratory (INL), where his research focuses on the computational analysis of advanced reactor designs, digital twin development, and autonomous reactor operations. This work has involved </w:t>
      </w:r>
      <w:proofErr w:type="gramStart"/>
      <w:r w:rsidRPr="00C92D3B">
        <w:rPr>
          <w:iCs/>
        </w:rPr>
        <w:t>determine</w:t>
      </w:r>
      <w:proofErr w:type="gramEnd"/>
      <w:r w:rsidRPr="00C92D3B">
        <w:rPr>
          <w:iCs/>
        </w:rPr>
        <w:t xml:space="preserve"> methodologies and approaches for synthesizing operational data and physics-informed data with machine learning and statistical analyses for understanding the state of a nuclear system.</w:t>
      </w:r>
    </w:p>
    <w:p w14:paraId="6A3E9744" w14:textId="77777777" w:rsidR="00AC2DAB" w:rsidRPr="00C92D3B" w:rsidRDefault="00AC2DAB" w:rsidP="00AC2DAB">
      <w:pPr>
        <w:rPr>
          <w:iCs/>
        </w:rPr>
      </w:pPr>
    </w:p>
    <w:p w14:paraId="7E3E02D6" w14:textId="77777777" w:rsidR="00AC2DAB" w:rsidRDefault="00AC2DAB" w:rsidP="00AC2DAB">
      <w:pPr>
        <w:rPr>
          <w:iCs/>
        </w:rPr>
      </w:pPr>
      <w:r w:rsidRPr="00C92D3B">
        <w:rPr>
          <w:iCs/>
        </w:rPr>
        <w:t>His work spans the modeling and simulation of advanced reactor systems, including sodium fast reactors, pebble-bed reactors, and heat pipe microreactors, with applications in reactor safeguards and nuclear non-proliferation. A central thrust of his current research involves developing digital twins that can accurately predict both normal and off-normal reactor operations, enabling pathways toward remote monitoring for international safeguards and autonomous control systems.</w:t>
      </w:r>
    </w:p>
    <w:p w14:paraId="2BFFC49A" w14:textId="77777777" w:rsidR="00AC2DAB" w:rsidRDefault="00AC2DAB" w:rsidP="00AC2DAB">
      <w:pPr>
        <w:rPr>
          <w:iCs/>
        </w:rPr>
      </w:pPr>
    </w:p>
    <w:p w14:paraId="0E262157" w14:textId="77777777" w:rsidR="00AC2DAB" w:rsidRDefault="00AC2DAB" w:rsidP="00AC2DAB">
      <w:pPr>
        <w:rPr>
          <w:iCs/>
        </w:rPr>
      </w:pPr>
      <w:r>
        <w:rPr>
          <w:iCs/>
        </w:rPr>
        <w:t>Ryan Stewart will lead the INL team and focus on transferability and generalizability of the approach for future deployment. This will include acting as a liaison between the UT-Austin team and the NRAD team to determine the feasibility in transferring the technology to NRAD for additional testing. Ryan will provide continual insights on future deployment for both current and advanced reactor systems, where we can determine what fields (such as international safeguards, research reactor optimization, etc.) this technology can be most useful.</w:t>
      </w:r>
    </w:p>
    <w:p w14:paraId="3B24A9E8" w14:textId="77777777" w:rsidR="00793E0F" w:rsidRDefault="00793E0F">
      <w:pPr>
        <w:rPr>
          <w:iCs/>
        </w:rPr>
      </w:pPr>
    </w:p>
    <w:p w14:paraId="3B5231AB" w14:textId="5F8E64DC" w:rsidR="00793E0F" w:rsidRPr="00793E0F" w:rsidRDefault="00793E0F" w:rsidP="00793E0F">
      <w:pPr>
        <w:rPr>
          <w:iCs/>
          <w:lang w:eastAsia="ko-KR"/>
        </w:rPr>
      </w:pPr>
    </w:p>
    <w:p w14:paraId="7DAED6E0" w14:textId="77777777" w:rsidR="00793E0F" w:rsidRDefault="00793E0F">
      <w:pPr>
        <w:rPr>
          <w:iCs/>
          <w:lang w:eastAsia="ko-KR"/>
        </w:rPr>
      </w:pPr>
    </w:p>
    <w:sectPr w:rsidR="00793E0F" w:rsidSect="00EE6E4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D365E"/>
    <w:multiLevelType w:val="multilevel"/>
    <w:tmpl w:val="0314902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0C8157E3"/>
    <w:multiLevelType w:val="hybridMultilevel"/>
    <w:tmpl w:val="B9C0A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304F2F"/>
    <w:multiLevelType w:val="multilevel"/>
    <w:tmpl w:val="254AFE1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15:restartNumberingAfterBreak="0">
    <w:nsid w:val="1C79F8EC"/>
    <w:multiLevelType w:val="hybridMultilevel"/>
    <w:tmpl w:val="F9D85CEC"/>
    <w:lvl w:ilvl="0" w:tplc="1D48DA50">
      <w:start w:val="1"/>
      <w:numFmt w:val="bullet"/>
      <w:lvlText w:val=""/>
      <w:lvlJc w:val="left"/>
      <w:pPr>
        <w:ind w:left="720" w:hanging="360"/>
      </w:pPr>
      <w:rPr>
        <w:rFonts w:ascii="Symbol" w:hAnsi="Symbol" w:hint="default"/>
      </w:rPr>
    </w:lvl>
    <w:lvl w:ilvl="1" w:tplc="EC6A3408">
      <w:start w:val="1"/>
      <w:numFmt w:val="bullet"/>
      <w:lvlText w:val="o"/>
      <w:lvlJc w:val="left"/>
      <w:pPr>
        <w:ind w:left="1440" w:hanging="360"/>
      </w:pPr>
      <w:rPr>
        <w:rFonts w:ascii="Courier New" w:hAnsi="Courier New" w:hint="default"/>
      </w:rPr>
    </w:lvl>
    <w:lvl w:ilvl="2" w:tplc="9C74926C">
      <w:start w:val="1"/>
      <w:numFmt w:val="bullet"/>
      <w:lvlText w:val=""/>
      <w:lvlJc w:val="left"/>
      <w:pPr>
        <w:ind w:left="2160" w:hanging="360"/>
      </w:pPr>
      <w:rPr>
        <w:rFonts w:ascii="Wingdings" w:hAnsi="Wingdings" w:hint="default"/>
      </w:rPr>
    </w:lvl>
    <w:lvl w:ilvl="3" w:tplc="CBFC0E74">
      <w:start w:val="1"/>
      <w:numFmt w:val="bullet"/>
      <w:lvlText w:val=""/>
      <w:lvlJc w:val="left"/>
      <w:pPr>
        <w:ind w:left="2880" w:hanging="360"/>
      </w:pPr>
      <w:rPr>
        <w:rFonts w:ascii="Symbol" w:hAnsi="Symbol" w:hint="default"/>
      </w:rPr>
    </w:lvl>
    <w:lvl w:ilvl="4" w:tplc="EFC2ADE6">
      <w:start w:val="1"/>
      <w:numFmt w:val="bullet"/>
      <w:lvlText w:val="o"/>
      <w:lvlJc w:val="left"/>
      <w:pPr>
        <w:ind w:left="3600" w:hanging="360"/>
      </w:pPr>
      <w:rPr>
        <w:rFonts w:ascii="Courier New" w:hAnsi="Courier New" w:hint="default"/>
      </w:rPr>
    </w:lvl>
    <w:lvl w:ilvl="5" w:tplc="03485238">
      <w:start w:val="1"/>
      <w:numFmt w:val="bullet"/>
      <w:lvlText w:val=""/>
      <w:lvlJc w:val="left"/>
      <w:pPr>
        <w:ind w:left="4320" w:hanging="360"/>
      </w:pPr>
      <w:rPr>
        <w:rFonts w:ascii="Wingdings" w:hAnsi="Wingdings" w:hint="default"/>
      </w:rPr>
    </w:lvl>
    <w:lvl w:ilvl="6" w:tplc="C1346FA8">
      <w:start w:val="1"/>
      <w:numFmt w:val="bullet"/>
      <w:lvlText w:val=""/>
      <w:lvlJc w:val="left"/>
      <w:pPr>
        <w:ind w:left="5040" w:hanging="360"/>
      </w:pPr>
      <w:rPr>
        <w:rFonts w:ascii="Symbol" w:hAnsi="Symbol" w:hint="default"/>
      </w:rPr>
    </w:lvl>
    <w:lvl w:ilvl="7" w:tplc="F5AC4D82">
      <w:start w:val="1"/>
      <w:numFmt w:val="bullet"/>
      <w:lvlText w:val="o"/>
      <w:lvlJc w:val="left"/>
      <w:pPr>
        <w:ind w:left="5760" w:hanging="360"/>
      </w:pPr>
      <w:rPr>
        <w:rFonts w:ascii="Courier New" w:hAnsi="Courier New" w:hint="default"/>
      </w:rPr>
    </w:lvl>
    <w:lvl w:ilvl="8" w:tplc="CA8CEF7E">
      <w:start w:val="1"/>
      <w:numFmt w:val="bullet"/>
      <w:lvlText w:val=""/>
      <w:lvlJc w:val="left"/>
      <w:pPr>
        <w:ind w:left="6480" w:hanging="360"/>
      </w:pPr>
      <w:rPr>
        <w:rFonts w:ascii="Wingdings" w:hAnsi="Wingdings" w:hint="default"/>
      </w:rPr>
    </w:lvl>
  </w:abstractNum>
  <w:abstractNum w:abstractNumId="4" w15:restartNumberingAfterBreak="0">
    <w:nsid w:val="1E543F9E"/>
    <w:multiLevelType w:val="hybridMultilevel"/>
    <w:tmpl w:val="DB26DE9A"/>
    <w:lvl w:ilvl="0" w:tplc="6BC86956">
      <w:start w:val="1"/>
      <w:numFmt w:val="bullet"/>
      <w:lvlText w:val=""/>
      <w:lvlJc w:val="left"/>
      <w:pPr>
        <w:ind w:left="720" w:hanging="360"/>
      </w:pPr>
      <w:rPr>
        <w:rFonts w:ascii="Symbol" w:hAnsi="Symbol" w:hint="default"/>
      </w:rPr>
    </w:lvl>
    <w:lvl w:ilvl="1" w:tplc="9D6816A6">
      <w:start w:val="1"/>
      <w:numFmt w:val="bullet"/>
      <w:lvlText w:val="o"/>
      <w:lvlJc w:val="left"/>
      <w:pPr>
        <w:ind w:left="1440" w:hanging="360"/>
      </w:pPr>
      <w:rPr>
        <w:rFonts w:ascii="Courier New" w:hAnsi="Courier New" w:hint="default"/>
      </w:rPr>
    </w:lvl>
    <w:lvl w:ilvl="2" w:tplc="2F0EA23A">
      <w:start w:val="1"/>
      <w:numFmt w:val="bullet"/>
      <w:lvlText w:val=""/>
      <w:lvlJc w:val="left"/>
      <w:pPr>
        <w:ind w:left="2160" w:hanging="360"/>
      </w:pPr>
      <w:rPr>
        <w:rFonts w:ascii="Wingdings" w:hAnsi="Wingdings" w:hint="default"/>
      </w:rPr>
    </w:lvl>
    <w:lvl w:ilvl="3" w:tplc="F51E260E">
      <w:start w:val="1"/>
      <w:numFmt w:val="bullet"/>
      <w:lvlText w:val=""/>
      <w:lvlJc w:val="left"/>
      <w:pPr>
        <w:ind w:left="2880" w:hanging="360"/>
      </w:pPr>
      <w:rPr>
        <w:rFonts w:ascii="Symbol" w:hAnsi="Symbol" w:hint="default"/>
      </w:rPr>
    </w:lvl>
    <w:lvl w:ilvl="4" w:tplc="493E25F2">
      <w:start w:val="1"/>
      <w:numFmt w:val="bullet"/>
      <w:lvlText w:val="o"/>
      <w:lvlJc w:val="left"/>
      <w:pPr>
        <w:ind w:left="3600" w:hanging="360"/>
      </w:pPr>
      <w:rPr>
        <w:rFonts w:ascii="Courier New" w:hAnsi="Courier New" w:hint="default"/>
      </w:rPr>
    </w:lvl>
    <w:lvl w:ilvl="5" w:tplc="FE0CC482">
      <w:start w:val="1"/>
      <w:numFmt w:val="bullet"/>
      <w:lvlText w:val=""/>
      <w:lvlJc w:val="left"/>
      <w:pPr>
        <w:ind w:left="4320" w:hanging="360"/>
      </w:pPr>
      <w:rPr>
        <w:rFonts w:ascii="Wingdings" w:hAnsi="Wingdings" w:hint="default"/>
      </w:rPr>
    </w:lvl>
    <w:lvl w:ilvl="6" w:tplc="48E26DB4">
      <w:start w:val="1"/>
      <w:numFmt w:val="bullet"/>
      <w:lvlText w:val=""/>
      <w:lvlJc w:val="left"/>
      <w:pPr>
        <w:ind w:left="5040" w:hanging="360"/>
      </w:pPr>
      <w:rPr>
        <w:rFonts w:ascii="Symbol" w:hAnsi="Symbol" w:hint="default"/>
      </w:rPr>
    </w:lvl>
    <w:lvl w:ilvl="7" w:tplc="F9A85C80">
      <w:start w:val="1"/>
      <w:numFmt w:val="bullet"/>
      <w:lvlText w:val="o"/>
      <w:lvlJc w:val="left"/>
      <w:pPr>
        <w:ind w:left="5760" w:hanging="360"/>
      </w:pPr>
      <w:rPr>
        <w:rFonts w:ascii="Courier New" w:hAnsi="Courier New" w:hint="default"/>
      </w:rPr>
    </w:lvl>
    <w:lvl w:ilvl="8" w:tplc="2C66BEFA">
      <w:start w:val="1"/>
      <w:numFmt w:val="bullet"/>
      <w:lvlText w:val=""/>
      <w:lvlJc w:val="left"/>
      <w:pPr>
        <w:ind w:left="6480" w:hanging="360"/>
      </w:pPr>
      <w:rPr>
        <w:rFonts w:ascii="Wingdings" w:hAnsi="Wingdings" w:hint="default"/>
      </w:rPr>
    </w:lvl>
  </w:abstractNum>
  <w:abstractNum w:abstractNumId="5" w15:restartNumberingAfterBreak="0">
    <w:nsid w:val="216424DD"/>
    <w:multiLevelType w:val="multilevel"/>
    <w:tmpl w:val="D1D2FEE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552A03F1"/>
    <w:multiLevelType w:val="multilevel"/>
    <w:tmpl w:val="EA2E7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5CB1AD7"/>
    <w:multiLevelType w:val="hybridMultilevel"/>
    <w:tmpl w:val="BE7057BC"/>
    <w:lvl w:ilvl="0" w:tplc="4210C02C">
      <w:start w:val="1"/>
      <w:numFmt w:val="bullet"/>
      <w:lvlText w:val=""/>
      <w:lvlJc w:val="left"/>
      <w:pPr>
        <w:ind w:left="720" w:hanging="360"/>
      </w:pPr>
      <w:rPr>
        <w:rFonts w:ascii="Symbol" w:hAnsi="Symbol" w:hint="default"/>
      </w:rPr>
    </w:lvl>
    <w:lvl w:ilvl="1" w:tplc="F8AA35B0">
      <w:start w:val="1"/>
      <w:numFmt w:val="bullet"/>
      <w:lvlText w:val="o"/>
      <w:lvlJc w:val="left"/>
      <w:pPr>
        <w:ind w:left="1440" w:hanging="360"/>
      </w:pPr>
      <w:rPr>
        <w:rFonts w:ascii="Courier New" w:hAnsi="Courier New" w:hint="default"/>
      </w:rPr>
    </w:lvl>
    <w:lvl w:ilvl="2" w:tplc="F2F688E6">
      <w:start w:val="1"/>
      <w:numFmt w:val="bullet"/>
      <w:lvlText w:val=""/>
      <w:lvlJc w:val="left"/>
      <w:pPr>
        <w:ind w:left="2160" w:hanging="360"/>
      </w:pPr>
      <w:rPr>
        <w:rFonts w:ascii="Wingdings" w:hAnsi="Wingdings" w:hint="default"/>
      </w:rPr>
    </w:lvl>
    <w:lvl w:ilvl="3" w:tplc="50A678B6">
      <w:start w:val="1"/>
      <w:numFmt w:val="bullet"/>
      <w:lvlText w:val=""/>
      <w:lvlJc w:val="left"/>
      <w:pPr>
        <w:ind w:left="2880" w:hanging="360"/>
      </w:pPr>
      <w:rPr>
        <w:rFonts w:ascii="Symbol" w:hAnsi="Symbol" w:hint="default"/>
      </w:rPr>
    </w:lvl>
    <w:lvl w:ilvl="4" w:tplc="75B2BE9E">
      <w:start w:val="1"/>
      <w:numFmt w:val="bullet"/>
      <w:lvlText w:val="o"/>
      <w:lvlJc w:val="left"/>
      <w:pPr>
        <w:ind w:left="3600" w:hanging="360"/>
      </w:pPr>
      <w:rPr>
        <w:rFonts w:ascii="Courier New" w:hAnsi="Courier New" w:hint="default"/>
      </w:rPr>
    </w:lvl>
    <w:lvl w:ilvl="5" w:tplc="625CF33C">
      <w:start w:val="1"/>
      <w:numFmt w:val="bullet"/>
      <w:lvlText w:val=""/>
      <w:lvlJc w:val="left"/>
      <w:pPr>
        <w:ind w:left="4320" w:hanging="360"/>
      </w:pPr>
      <w:rPr>
        <w:rFonts w:ascii="Wingdings" w:hAnsi="Wingdings" w:hint="default"/>
      </w:rPr>
    </w:lvl>
    <w:lvl w:ilvl="6" w:tplc="E9EA4346">
      <w:start w:val="1"/>
      <w:numFmt w:val="bullet"/>
      <w:lvlText w:val=""/>
      <w:lvlJc w:val="left"/>
      <w:pPr>
        <w:ind w:left="5040" w:hanging="360"/>
      </w:pPr>
      <w:rPr>
        <w:rFonts w:ascii="Symbol" w:hAnsi="Symbol" w:hint="default"/>
      </w:rPr>
    </w:lvl>
    <w:lvl w:ilvl="7" w:tplc="57EC8A50">
      <w:start w:val="1"/>
      <w:numFmt w:val="bullet"/>
      <w:lvlText w:val="o"/>
      <w:lvlJc w:val="left"/>
      <w:pPr>
        <w:ind w:left="5760" w:hanging="360"/>
      </w:pPr>
      <w:rPr>
        <w:rFonts w:ascii="Courier New" w:hAnsi="Courier New" w:hint="default"/>
      </w:rPr>
    </w:lvl>
    <w:lvl w:ilvl="8" w:tplc="82D6E420">
      <w:start w:val="1"/>
      <w:numFmt w:val="bullet"/>
      <w:lvlText w:val=""/>
      <w:lvlJc w:val="left"/>
      <w:pPr>
        <w:ind w:left="6480" w:hanging="360"/>
      </w:pPr>
      <w:rPr>
        <w:rFonts w:ascii="Wingdings" w:hAnsi="Wingdings" w:hint="default"/>
      </w:rPr>
    </w:lvl>
  </w:abstractNum>
  <w:abstractNum w:abstractNumId="8" w15:restartNumberingAfterBreak="0">
    <w:nsid w:val="5EE419B7"/>
    <w:multiLevelType w:val="multilevel"/>
    <w:tmpl w:val="555CFEF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638A7F97"/>
    <w:multiLevelType w:val="hybridMultilevel"/>
    <w:tmpl w:val="15860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8F44BC4"/>
    <w:multiLevelType w:val="hybridMultilevel"/>
    <w:tmpl w:val="AA5CFA60"/>
    <w:lvl w:ilvl="0" w:tplc="F52413FE">
      <w:start w:val="1"/>
      <w:numFmt w:val="bullet"/>
      <w:lvlText w:val=""/>
      <w:lvlJc w:val="left"/>
      <w:pPr>
        <w:ind w:left="720" w:hanging="360"/>
      </w:pPr>
      <w:rPr>
        <w:rFonts w:ascii="Symbol" w:hAnsi="Symbol" w:hint="default"/>
      </w:rPr>
    </w:lvl>
    <w:lvl w:ilvl="1" w:tplc="758AA866">
      <w:start w:val="1"/>
      <w:numFmt w:val="bullet"/>
      <w:lvlText w:val="o"/>
      <w:lvlJc w:val="left"/>
      <w:pPr>
        <w:ind w:left="1440" w:hanging="360"/>
      </w:pPr>
      <w:rPr>
        <w:rFonts w:ascii="Courier New" w:hAnsi="Courier New" w:hint="default"/>
      </w:rPr>
    </w:lvl>
    <w:lvl w:ilvl="2" w:tplc="ED6C08DA">
      <w:start w:val="1"/>
      <w:numFmt w:val="bullet"/>
      <w:lvlText w:val=""/>
      <w:lvlJc w:val="left"/>
      <w:pPr>
        <w:ind w:left="2160" w:hanging="360"/>
      </w:pPr>
      <w:rPr>
        <w:rFonts w:ascii="Wingdings" w:hAnsi="Wingdings" w:hint="default"/>
      </w:rPr>
    </w:lvl>
    <w:lvl w:ilvl="3" w:tplc="DA08E508">
      <w:start w:val="1"/>
      <w:numFmt w:val="bullet"/>
      <w:lvlText w:val=""/>
      <w:lvlJc w:val="left"/>
      <w:pPr>
        <w:ind w:left="2880" w:hanging="360"/>
      </w:pPr>
      <w:rPr>
        <w:rFonts w:ascii="Symbol" w:hAnsi="Symbol" w:hint="default"/>
      </w:rPr>
    </w:lvl>
    <w:lvl w:ilvl="4" w:tplc="02C6C838">
      <w:start w:val="1"/>
      <w:numFmt w:val="bullet"/>
      <w:lvlText w:val="o"/>
      <w:lvlJc w:val="left"/>
      <w:pPr>
        <w:ind w:left="3600" w:hanging="360"/>
      </w:pPr>
      <w:rPr>
        <w:rFonts w:ascii="Courier New" w:hAnsi="Courier New" w:hint="default"/>
      </w:rPr>
    </w:lvl>
    <w:lvl w:ilvl="5" w:tplc="90D6EDC0">
      <w:start w:val="1"/>
      <w:numFmt w:val="bullet"/>
      <w:lvlText w:val=""/>
      <w:lvlJc w:val="left"/>
      <w:pPr>
        <w:ind w:left="4320" w:hanging="360"/>
      </w:pPr>
      <w:rPr>
        <w:rFonts w:ascii="Wingdings" w:hAnsi="Wingdings" w:hint="default"/>
      </w:rPr>
    </w:lvl>
    <w:lvl w:ilvl="6" w:tplc="71EA8220">
      <w:start w:val="1"/>
      <w:numFmt w:val="bullet"/>
      <w:lvlText w:val=""/>
      <w:lvlJc w:val="left"/>
      <w:pPr>
        <w:ind w:left="5040" w:hanging="360"/>
      </w:pPr>
      <w:rPr>
        <w:rFonts w:ascii="Symbol" w:hAnsi="Symbol" w:hint="default"/>
      </w:rPr>
    </w:lvl>
    <w:lvl w:ilvl="7" w:tplc="76EE0508">
      <w:start w:val="1"/>
      <w:numFmt w:val="bullet"/>
      <w:lvlText w:val="o"/>
      <w:lvlJc w:val="left"/>
      <w:pPr>
        <w:ind w:left="5760" w:hanging="360"/>
      </w:pPr>
      <w:rPr>
        <w:rFonts w:ascii="Courier New" w:hAnsi="Courier New" w:hint="default"/>
      </w:rPr>
    </w:lvl>
    <w:lvl w:ilvl="8" w:tplc="7826DED0">
      <w:start w:val="1"/>
      <w:numFmt w:val="bullet"/>
      <w:lvlText w:val=""/>
      <w:lvlJc w:val="left"/>
      <w:pPr>
        <w:ind w:left="6480" w:hanging="360"/>
      </w:pPr>
      <w:rPr>
        <w:rFonts w:ascii="Wingdings" w:hAnsi="Wingdings" w:hint="default"/>
      </w:rPr>
    </w:lvl>
  </w:abstractNum>
  <w:abstractNum w:abstractNumId="11" w15:restartNumberingAfterBreak="0">
    <w:nsid w:val="6CA2C42E"/>
    <w:multiLevelType w:val="hybridMultilevel"/>
    <w:tmpl w:val="C97671EC"/>
    <w:lvl w:ilvl="0" w:tplc="C3A04C3C">
      <w:start w:val="1"/>
      <w:numFmt w:val="decimal"/>
      <w:lvlText w:val="%1."/>
      <w:lvlJc w:val="left"/>
      <w:pPr>
        <w:ind w:left="720" w:hanging="360"/>
      </w:pPr>
    </w:lvl>
    <w:lvl w:ilvl="1" w:tplc="2C366BD2">
      <w:start w:val="1"/>
      <w:numFmt w:val="lowerLetter"/>
      <w:lvlText w:val="%2."/>
      <w:lvlJc w:val="left"/>
      <w:pPr>
        <w:ind w:left="1440" w:hanging="360"/>
      </w:pPr>
    </w:lvl>
    <w:lvl w:ilvl="2" w:tplc="EC204E80">
      <w:start w:val="1"/>
      <w:numFmt w:val="lowerRoman"/>
      <w:lvlText w:val="%3."/>
      <w:lvlJc w:val="right"/>
      <w:pPr>
        <w:ind w:left="2160" w:hanging="180"/>
      </w:pPr>
    </w:lvl>
    <w:lvl w:ilvl="3" w:tplc="DC1CCC5C">
      <w:start w:val="1"/>
      <w:numFmt w:val="decimal"/>
      <w:lvlText w:val="%4."/>
      <w:lvlJc w:val="left"/>
      <w:pPr>
        <w:ind w:left="2880" w:hanging="360"/>
      </w:pPr>
    </w:lvl>
    <w:lvl w:ilvl="4" w:tplc="714029D2">
      <w:start w:val="1"/>
      <w:numFmt w:val="lowerLetter"/>
      <w:lvlText w:val="%5."/>
      <w:lvlJc w:val="left"/>
      <w:pPr>
        <w:ind w:left="3600" w:hanging="360"/>
      </w:pPr>
    </w:lvl>
    <w:lvl w:ilvl="5" w:tplc="DE749C34">
      <w:start w:val="1"/>
      <w:numFmt w:val="lowerRoman"/>
      <w:lvlText w:val="%6."/>
      <w:lvlJc w:val="right"/>
      <w:pPr>
        <w:ind w:left="4320" w:hanging="180"/>
      </w:pPr>
    </w:lvl>
    <w:lvl w:ilvl="6" w:tplc="175451D0">
      <w:start w:val="1"/>
      <w:numFmt w:val="decimal"/>
      <w:lvlText w:val="%7."/>
      <w:lvlJc w:val="left"/>
      <w:pPr>
        <w:ind w:left="5040" w:hanging="360"/>
      </w:pPr>
    </w:lvl>
    <w:lvl w:ilvl="7" w:tplc="263AC202">
      <w:start w:val="1"/>
      <w:numFmt w:val="lowerLetter"/>
      <w:lvlText w:val="%8."/>
      <w:lvlJc w:val="left"/>
      <w:pPr>
        <w:ind w:left="5760" w:hanging="360"/>
      </w:pPr>
    </w:lvl>
    <w:lvl w:ilvl="8" w:tplc="52A2A6A2">
      <w:start w:val="1"/>
      <w:numFmt w:val="lowerRoman"/>
      <w:lvlText w:val="%9."/>
      <w:lvlJc w:val="right"/>
      <w:pPr>
        <w:ind w:left="6480" w:hanging="180"/>
      </w:pPr>
    </w:lvl>
  </w:abstractNum>
  <w:abstractNum w:abstractNumId="12" w15:restartNumberingAfterBreak="0">
    <w:nsid w:val="6F7A5F6C"/>
    <w:multiLevelType w:val="multilevel"/>
    <w:tmpl w:val="117E547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 w15:restartNumberingAfterBreak="0">
    <w:nsid w:val="75785391"/>
    <w:multiLevelType w:val="hybridMultilevel"/>
    <w:tmpl w:val="6B3EB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8137297">
    <w:abstractNumId w:val="7"/>
  </w:num>
  <w:num w:numId="2" w16cid:durableId="567959023">
    <w:abstractNumId w:val="4"/>
  </w:num>
  <w:num w:numId="3" w16cid:durableId="656223595">
    <w:abstractNumId w:val="10"/>
  </w:num>
  <w:num w:numId="4" w16cid:durableId="1140149134">
    <w:abstractNumId w:val="3"/>
  </w:num>
  <w:num w:numId="5" w16cid:durableId="4863131">
    <w:abstractNumId w:val="11"/>
  </w:num>
  <w:num w:numId="6" w16cid:durableId="1289703450">
    <w:abstractNumId w:val="13"/>
  </w:num>
  <w:num w:numId="7" w16cid:durableId="1627463876">
    <w:abstractNumId w:val="6"/>
  </w:num>
  <w:num w:numId="8" w16cid:durableId="1062825491">
    <w:abstractNumId w:val="1"/>
  </w:num>
  <w:num w:numId="9" w16cid:durableId="1137797519">
    <w:abstractNumId w:val="9"/>
  </w:num>
  <w:num w:numId="10" w16cid:durableId="1555967551">
    <w:abstractNumId w:val="0"/>
  </w:num>
  <w:num w:numId="11" w16cid:durableId="1980257619">
    <w:abstractNumId w:val="8"/>
  </w:num>
  <w:num w:numId="12" w16cid:durableId="1608539047">
    <w:abstractNumId w:val="5"/>
  </w:num>
  <w:num w:numId="13" w16cid:durableId="1145320988">
    <w:abstractNumId w:val="12"/>
  </w:num>
  <w:num w:numId="14" w16cid:durableId="192934209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010D"/>
    <w:rsid w:val="00014DD3"/>
    <w:rsid w:val="0007336D"/>
    <w:rsid w:val="000837A6"/>
    <w:rsid w:val="00086322"/>
    <w:rsid w:val="000D7BDA"/>
    <w:rsid w:val="00143A1C"/>
    <w:rsid w:val="001B03A0"/>
    <w:rsid w:val="002C177A"/>
    <w:rsid w:val="003A1ECE"/>
    <w:rsid w:val="00421F76"/>
    <w:rsid w:val="004B391A"/>
    <w:rsid w:val="004F2F1A"/>
    <w:rsid w:val="005144AE"/>
    <w:rsid w:val="0053053E"/>
    <w:rsid w:val="00555419"/>
    <w:rsid w:val="00602971"/>
    <w:rsid w:val="00633FDB"/>
    <w:rsid w:val="00670BC0"/>
    <w:rsid w:val="00671D60"/>
    <w:rsid w:val="006854C0"/>
    <w:rsid w:val="007229CD"/>
    <w:rsid w:val="00744253"/>
    <w:rsid w:val="00793E0F"/>
    <w:rsid w:val="007C06A2"/>
    <w:rsid w:val="007F3881"/>
    <w:rsid w:val="007F6938"/>
    <w:rsid w:val="008E6C25"/>
    <w:rsid w:val="00903805"/>
    <w:rsid w:val="00942819"/>
    <w:rsid w:val="009D2CFB"/>
    <w:rsid w:val="009E4A74"/>
    <w:rsid w:val="00A22CA0"/>
    <w:rsid w:val="00A4155C"/>
    <w:rsid w:val="00AC2DAB"/>
    <w:rsid w:val="00AE5E0A"/>
    <w:rsid w:val="00AF7B8A"/>
    <w:rsid w:val="00B43498"/>
    <w:rsid w:val="00B64FC0"/>
    <w:rsid w:val="00C23B3E"/>
    <w:rsid w:val="00C64B18"/>
    <w:rsid w:val="00C80A46"/>
    <w:rsid w:val="00C8237A"/>
    <w:rsid w:val="00CA0C62"/>
    <w:rsid w:val="00CB0768"/>
    <w:rsid w:val="00CE5C44"/>
    <w:rsid w:val="00CF3DC2"/>
    <w:rsid w:val="00D1010D"/>
    <w:rsid w:val="00D664B8"/>
    <w:rsid w:val="00D731A2"/>
    <w:rsid w:val="00D81945"/>
    <w:rsid w:val="00D901EF"/>
    <w:rsid w:val="00E04BBF"/>
    <w:rsid w:val="00E601C3"/>
    <w:rsid w:val="00E65CAB"/>
    <w:rsid w:val="00E972EC"/>
    <w:rsid w:val="00EE25BF"/>
    <w:rsid w:val="00EE6E42"/>
    <w:rsid w:val="00F57306"/>
    <w:rsid w:val="00FA3315"/>
    <w:rsid w:val="61127915"/>
    <w:rsid w:val="6A38D43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D877C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6A38D438"/>
    <w:pPr>
      <w:ind w:left="720"/>
      <w:contextualSpacing/>
    </w:pPr>
  </w:style>
  <w:style w:type="paragraph" w:styleId="NormalWeb">
    <w:name w:val="Normal (Web)"/>
    <w:basedOn w:val="Normal"/>
    <w:uiPriority w:val="99"/>
    <w:semiHidden/>
    <w:unhideWhenUsed/>
    <w:rsid w:val="007C06A2"/>
    <w:pPr>
      <w:spacing w:before="100" w:beforeAutospacing="1" w:after="100" w:afterAutospacing="1"/>
    </w:pPr>
    <w:rPr>
      <w:rFonts w:ascii="Times New Roman" w:eastAsia="Times New Roman" w:hAnsi="Times New Roman" w:cs="Times New Roman"/>
      <w:lang w:eastAsia="ko-KR"/>
    </w:rPr>
  </w:style>
  <w:style w:type="character" w:styleId="Hyperlink">
    <w:name w:val="Hyperlink"/>
    <w:basedOn w:val="DefaultParagraphFont"/>
    <w:uiPriority w:val="99"/>
    <w:unhideWhenUsed/>
    <w:rsid w:val="00793E0F"/>
    <w:rPr>
      <w:color w:val="0563C1" w:themeColor="hyperlink"/>
      <w:u w:val="single"/>
    </w:rPr>
  </w:style>
  <w:style w:type="character" w:styleId="UnresolvedMention">
    <w:name w:val="Unresolved Mention"/>
    <w:basedOn w:val="DefaultParagraphFont"/>
    <w:uiPriority w:val="99"/>
    <w:rsid w:val="00793E0F"/>
    <w:rPr>
      <w:color w:val="605E5C"/>
      <w:shd w:val="clear" w:color="auto" w:fill="E1DFDD"/>
    </w:rPr>
  </w:style>
  <w:style w:type="paragraph" w:styleId="Caption">
    <w:name w:val="caption"/>
    <w:basedOn w:val="Normal"/>
    <w:next w:val="Normal"/>
    <w:uiPriority w:val="35"/>
    <w:unhideWhenUsed/>
    <w:qFormat/>
    <w:rsid w:val="00E601C3"/>
    <w:pPr>
      <w:spacing w:after="200"/>
    </w:pPr>
    <w:rPr>
      <w:i/>
      <w:iCs/>
      <w:color w:val="44546A" w:themeColor="text2"/>
      <w:sz w:val="18"/>
      <w:szCs w:val="18"/>
    </w:rPr>
  </w:style>
  <w:style w:type="paragraph" w:styleId="Bibliography">
    <w:name w:val="Bibliography"/>
    <w:basedOn w:val="Normal"/>
    <w:next w:val="Normal"/>
    <w:uiPriority w:val="37"/>
    <w:unhideWhenUsed/>
    <w:rsid w:val="004B391A"/>
    <w:pPr>
      <w:tabs>
        <w:tab w:val="left" w:pos="384"/>
      </w:tabs>
      <w:ind w:left="384" w:hanging="384"/>
    </w:pPr>
  </w:style>
  <w:style w:type="table" w:styleId="TableGrid">
    <w:name w:val="Table Grid"/>
    <w:basedOn w:val="TableNormal"/>
    <w:uiPriority w:val="39"/>
    <w:rsid w:val="00A4155C"/>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133</TotalTime>
  <Pages>7</Pages>
  <Words>3125</Words>
  <Characters>17816</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University of Texas at Austin</Company>
  <LinksUpToDate>false</LinksUpToDate>
  <CharactersWithSpaces>20900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Seo, Jeongwon</cp:lastModifiedBy>
  <cp:revision>42</cp:revision>
  <dcterms:created xsi:type="dcterms:W3CDTF">2018-02-09T21:34:00Z</dcterms:created>
  <dcterms:modified xsi:type="dcterms:W3CDTF">2026-01-26T18:13:00Z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zotero-version="8.0"&gt;&lt;session id="FQCPtnDf"/&gt;&lt;style id="http://www.zotero.org/styles/ieee" locale="en-US" hasBibliography="1" bibliographyStyleHasBeenSet="1"/&gt;&lt;prefs&gt;&lt;pref name="fieldType" value="Field"/&gt;&lt;pref name="automaticJournal</vt:lpwstr>
  </property>
  <property fmtid="{D5CDD505-2E9C-101B-9397-08002B2CF9AE}" pid="3" name="ZOTERO_PREF_2">
    <vt:lpwstr>Abbreviations" value="true"/&gt;&lt;/prefs&gt;&lt;/data&gt;</vt:lpwstr>
  </property>
</Properties>
</file>