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141C2" w14:textId="35C8FD31" w:rsidR="00954608" w:rsidRDefault="00000000" w:rsidP="00365850">
      <w:pPr>
        <w:spacing w:line="240" w:lineRule="auto"/>
        <w:contextualSpacing/>
        <w:jc w:val="center"/>
      </w:pPr>
      <w:r>
        <w:rPr>
          <w:b/>
        </w:rPr>
        <w:t>DOE NEUP FY 2026 – CINR Pre‑Application Technical Volume</w:t>
      </w:r>
      <w:r>
        <w:rPr>
          <w:b/>
        </w:rPr>
        <w:br/>
        <w:t>Topic Area 11: Licensing, Safety, and Security</w:t>
      </w:r>
      <w:r>
        <w:rPr>
          <w:b/>
        </w:rPr>
        <w:br/>
      </w:r>
      <w:r>
        <w:rPr>
          <w:b/>
        </w:rPr>
        <w:br/>
        <w:t>Digital Twin</w:t>
      </w:r>
      <w:r w:rsidR="0038741E">
        <w:rPr>
          <w:b/>
        </w:rPr>
        <w:t>s</w:t>
      </w:r>
      <w:r>
        <w:rPr>
          <w:b/>
        </w:rPr>
        <w:t xml:space="preserve"> for </w:t>
      </w:r>
      <w:r w:rsidR="008150E0">
        <w:rPr>
          <w:b/>
        </w:rPr>
        <w:t xml:space="preserve">Safe, </w:t>
      </w:r>
      <w:r w:rsidR="0038741E">
        <w:rPr>
          <w:b/>
        </w:rPr>
        <w:t>Reliable</w:t>
      </w:r>
      <w:r w:rsidR="008150E0">
        <w:rPr>
          <w:b/>
        </w:rPr>
        <w:t>,</w:t>
      </w:r>
      <w:r w:rsidR="0038741E">
        <w:rPr>
          <w:b/>
        </w:rPr>
        <w:t xml:space="preserve"> and Cybersecure Remote Operation of Microreactors</w:t>
      </w:r>
    </w:p>
    <w:p w14:paraId="15435BE0" w14:textId="77777777" w:rsidR="00570AC3" w:rsidRDefault="00570AC3" w:rsidP="00365850">
      <w:pPr>
        <w:pStyle w:val="paragraph"/>
        <w:spacing w:before="0" w:beforeAutospacing="0" w:after="0" w:afterAutospacing="0"/>
        <w:contextualSpacing/>
        <w:jc w:val="center"/>
        <w:textAlignment w:val="baseline"/>
      </w:pPr>
      <w:commentRangeStart w:id="0"/>
      <w:r>
        <w:rPr>
          <w:rStyle w:val="normaltextrun"/>
          <w:sz w:val="22"/>
          <w:szCs w:val="22"/>
        </w:rPr>
        <w:t>Principal Investigator: William Charlton, University of Texas at Austin</w:t>
      </w:r>
      <w:r>
        <w:rPr>
          <w:rStyle w:val="eop"/>
          <w:sz w:val="22"/>
          <w:szCs w:val="22"/>
        </w:rPr>
        <w:t> </w:t>
      </w:r>
    </w:p>
    <w:p w14:paraId="542869A7" w14:textId="77777777" w:rsidR="00570AC3" w:rsidRDefault="00570AC3" w:rsidP="00365850">
      <w:pPr>
        <w:pStyle w:val="paragraph"/>
        <w:spacing w:before="0" w:beforeAutospacing="0" w:after="0" w:afterAutospacing="0"/>
        <w:contextualSpacing/>
        <w:jc w:val="center"/>
        <w:textAlignment w:val="baseline"/>
      </w:pPr>
      <w:r>
        <w:rPr>
          <w:rStyle w:val="normaltextrun"/>
          <w:sz w:val="22"/>
          <w:szCs w:val="22"/>
        </w:rPr>
        <w:t>Subrecipients: Andrew Hahn SNL, Somebody, INL</w:t>
      </w:r>
      <w:r>
        <w:rPr>
          <w:rStyle w:val="eop"/>
          <w:sz w:val="22"/>
          <w:szCs w:val="22"/>
        </w:rPr>
        <w:t> </w:t>
      </w:r>
      <w:commentRangeEnd w:id="0"/>
      <w:r w:rsidR="00991D9A">
        <w:rPr>
          <w:rStyle w:val="CommentReference"/>
          <w:sz w:val="24"/>
          <w:szCs w:val="24"/>
        </w:rPr>
        <w:commentReference w:id="0"/>
      </w:r>
    </w:p>
    <w:p w14:paraId="2D6A1E3C" w14:textId="77777777" w:rsidR="00570AC3" w:rsidRDefault="00570AC3" w:rsidP="00365850">
      <w:pPr>
        <w:pStyle w:val="paragraph"/>
        <w:spacing w:before="0" w:beforeAutospacing="0" w:after="0" w:afterAutospacing="0"/>
        <w:contextualSpacing/>
        <w:jc w:val="center"/>
        <w:textAlignment w:val="baseline"/>
      </w:pPr>
      <w:r>
        <w:rPr>
          <w:rStyle w:val="normaltextrun"/>
          <w:sz w:val="22"/>
          <w:szCs w:val="22"/>
        </w:rPr>
        <w:t>Period: 36 months</w:t>
      </w:r>
      <w:r>
        <w:rPr>
          <w:rStyle w:val="eop"/>
          <w:sz w:val="22"/>
          <w:szCs w:val="22"/>
        </w:rPr>
        <w:t> </w:t>
      </w:r>
    </w:p>
    <w:p w14:paraId="5B16B338" w14:textId="77777777" w:rsidR="00570AC3" w:rsidRDefault="00570AC3" w:rsidP="00365850">
      <w:pPr>
        <w:pStyle w:val="paragraph"/>
        <w:spacing w:before="0" w:beforeAutospacing="0" w:after="0" w:afterAutospacing="0"/>
        <w:contextualSpacing/>
        <w:jc w:val="center"/>
        <w:textAlignment w:val="baseline"/>
      </w:pPr>
      <w:r>
        <w:rPr>
          <w:rStyle w:val="normaltextrun"/>
          <w:sz w:val="22"/>
          <w:szCs w:val="22"/>
        </w:rPr>
        <w:t>DOE Request: $1,000,000</w:t>
      </w:r>
      <w:r>
        <w:rPr>
          <w:rStyle w:val="eop"/>
          <w:sz w:val="22"/>
          <w:szCs w:val="22"/>
        </w:rPr>
        <w:t> </w:t>
      </w:r>
    </w:p>
    <w:p w14:paraId="36A15DD9" w14:textId="59DCCD37" w:rsidR="00954608" w:rsidRDefault="00000000" w:rsidP="00535097">
      <w:pPr>
        <w:pStyle w:val="Heading1"/>
        <w:numPr>
          <w:ilvl w:val="0"/>
          <w:numId w:val="10"/>
        </w:numPr>
        <w:spacing w:before="220" w:line="240" w:lineRule="auto"/>
        <w:contextualSpacing/>
        <w:rPr>
          <w:rFonts w:ascii="Times New Roman" w:hAnsi="Times New Roman"/>
          <w:color w:val="auto"/>
          <w:sz w:val="24"/>
        </w:rPr>
      </w:pPr>
      <w:r w:rsidRPr="00BB79FC">
        <w:rPr>
          <w:rFonts w:ascii="Times New Roman" w:hAnsi="Times New Roman"/>
          <w:color w:val="auto"/>
          <w:sz w:val="24"/>
        </w:rPr>
        <w:t>Problem Statement and Mission Relevance</w:t>
      </w:r>
    </w:p>
    <w:p w14:paraId="4AF28F4E" w14:textId="60E95316" w:rsidR="009F262E" w:rsidRDefault="009F262E" w:rsidP="00365850">
      <w:pPr>
        <w:spacing w:line="240" w:lineRule="auto"/>
        <w:contextualSpacing/>
        <w:jc w:val="both"/>
      </w:pPr>
      <w:r>
        <w:t>The economic viability of microreactors depends in part on safely reducing on-site staffing requirements, including the ability to operate multiple reactors from remote locations</w:t>
      </w:r>
      <w:r w:rsidR="00A46E98" w:rsidRPr="00A46E98">
        <w:rPr>
          <w:rFonts w:cs="Times New Roman"/>
        </w:rPr>
        <w:t xml:space="preserve"> </w:t>
      </w:r>
      <w:r w:rsidR="00A46E98" w:rsidRPr="00A46E98">
        <w:rPr>
          <w:rFonts w:cs="Times New Roman"/>
        </w:rPr>
        <w:fldChar w:fldCharType="begin"/>
      </w:r>
      <w:r w:rsidR="00A46E98" w:rsidRPr="00A46E98">
        <w:rPr>
          <w:rFonts w:cs="Times New Roman"/>
        </w:rPr>
        <w:instrText xml:space="preserve"> ADDIN ZOTERO_ITEM CSL_CITATION {"citationID":"J37DoZHA","properties":{"formattedCitation":"[1]","plainCitation":"[1]","noteIndex":0},"citationItems":[{"id":117,"uris":["http://zotero.org/groups/5759933/items/HKAG4HJU"],"itemData":{"id":117,"type":"article-journal","abstract":"The nuclear energy industry is looking to next-generation reactor designs to augment, diversify, and expand generation capacity in an increasingly complex and varied energy landscape. A key element in this objective is microreactors—small nuclear reactors which can provide flexible capacity at a reduced scale compared to traditional large-scale nuclear reactors. Specifically, microreactors could be used to provide clean, reliable combined heat and power to remote communities, worksites, or facilities. However, the construction and operations and maintenance costs to supply the required operator staffing and physical supporting assets, such as control rooms, could be a limiting factor for first adopters of the technology. Opportunities to reduce the cost of monitoring and control activities could enable early adoption, allowing economies of learning to take effect, spurring further adoption. A reduction in the number and cost intensity of control rooms and operators per deployed microreactor could significantly decrease the overall cost for a fleet of microreactors. To optimize microreactor economic competitiveness, one solution would be to establish an off-site operation facility for centralized monitoring and control (CM&amp;amp;C) of a fleet of microreactors. Leveraging advances in digital instrumentation and control systems could bolster the safety, reliability, and security of the remote communication architecture inherently required to operate remotely. Digital twins (DTs) are virtual replicas of physical assets which can be used for a variety of applications, including analyzing I&amp;amp;C signals against a validated model to perform several analysis and prediction functions. When implemented properly, DTs can potentially detect anomalies and component failures, and serve as a diagnostic tool for operators. These technologies can enhance operator understanding and awareness, reduce the management demand time on operators, and increase asset uptime by providing early alerts for failures alongside insights to aid in predictive maintenance. Furthermore, a DT system could enhance the secure and reliable communication architecture necessary for remote microreactor operation by verifying signals and suggesting or automating controls, thereby boosting their economic viability. This research examines the economic effects of various control strategies ranging from many individually and on-site controlled reactors to co-management of all microreactors in a system from a single, off-site control center. Results from the analysis are positive, revealing significant cost-reduction opportunities.","container-title":"Frontiers in Nuclear Engineering","DOI":"10.3389/fnuen.2023.1293908","ISSN":"2813-3412","journalAbbreviation":"Front. Nucl. Eng.","language":"en","license":"https://creativecommons.org/licenses/by/4.0/","note":"publisher: Frontiers Media SA","source":"Crossref","title":"Remote nuclear microreactors: a preliminary economic evaluation of digital twins and centralized offsite control","title-short":"Remote nuclear microreactors","URL":"https://www.frontiersin.org/articles/10.3389/fnuen.2023.1293908/full","volume":"2","author":[{"family":"Bryan","given":"Haydn C."},{"family":"Jesse","given":"Katherine W."},{"family":"Miller","given":"Charles A."},{"family":"Browning","given":"Jeren M."}],"accessed":{"date-parts":[["2025",7,15]]},"issued":{"date-parts":[["2023",12,21]]}}}],"schema":"https://github.com/citation-style-language/schema/raw/master/csl-citation.json"} </w:instrText>
      </w:r>
      <w:r w:rsidR="00A46E98" w:rsidRPr="00A46E98">
        <w:rPr>
          <w:rFonts w:cs="Times New Roman"/>
        </w:rPr>
        <w:fldChar w:fldCharType="separate"/>
      </w:r>
      <w:r w:rsidR="00A46E98" w:rsidRPr="00A46E98">
        <w:rPr>
          <w:rFonts w:cs="Times New Roman"/>
        </w:rPr>
        <w:t>[1]</w:t>
      </w:r>
      <w:r w:rsidR="00A46E98" w:rsidRPr="00A46E98">
        <w:rPr>
          <w:rFonts w:cs="Times New Roman"/>
        </w:rPr>
        <w:fldChar w:fldCharType="end"/>
      </w:r>
      <w:r>
        <w:t>. To ensure that remotely operated microreactors remain both reliable and cybersecure, remote instrumentation and control (I&amp;C) architectures must be developed, evaluated, and validated prior to deployment. One promising approach is the use of digital twins (DTs). A digital twin is a digital representation of a physical system in which data flow bidirectionally between the digital and physical twins, with both integrating the available data. When applied to remote operations, digital twins can be used to verify instrumentation signals, validate control commands, and detect anomalous behavior in data streams that may indicate cyber i</w:t>
      </w:r>
      <w:r w:rsidR="00EE1B06">
        <w:t>ntrusion</w:t>
      </w:r>
      <w:r>
        <w:t>.</w:t>
      </w:r>
    </w:p>
    <w:p w14:paraId="3B06BD73" w14:textId="77777777" w:rsidR="002943A5" w:rsidRDefault="002943A5" w:rsidP="00365850">
      <w:pPr>
        <w:spacing w:line="240" w:lineRule="auto"/>
        <w:contextualSpacing/>
        <w:jc w:val="both"/>
      </w:pPr>
    </w:p>
    <w:p w14:paraId="7C8CF531" w14:textId="48F65625" w:rsidR="009F262E" w:rsidRDefault="009F262E" w:rsidP="00365850">
      <w:pPr>
        <w:spacing w:line="240" w:lineRule="auto"/>
        <w:contextualSpacing/>
        <w:jc w:val="both"/>
      </w:pPr>
      <w:r>
        <w:t xml:space="preserve">This project will develop and experimentally deploy, on a 1-MW research reactor, multiple candidate remote-operation architectures, including the Digital Twin Certification System (DTCS), single-DT anomaly detection systems, traditional encryption-based approaches, and </w:t>
      </w:r>
      <w:r w:rsidR="00F37670">
        <w:t>other concepts</w:t>
      </w:r>
      <w:r>
        <w:t>. The cybersecurity and operational performance of these architectures will be evaluated using existing hardware and infrastructure at the TRIGA reactor at the University of Texas (UT) at Austin, providing a controlled but realistic testbed for remote nuclear operations. This work will constitute the first</w:t>
      </w:r>
      <w:r w:rsidR="00366B8E">
        <w:t xml:space="preserve"> </w:t>
      </w:r>
      <w:r>
        <w:t xml:space="preserve">experimental demonstration of DTCS </w:t>
      </w:r>
      <w:r w:rsidRPr="009F262E">
        <w:rPr>
          <w:i/>
          <w:iCs/>
        </w:rPr>
        <w:t>on an operating nuclear reactor</w:t>
      </w:r>
      <w:r>
        <w:t xml:space="preserve">, enabling a direct comparison of performance, resource requirements, and cybersecurity effectiveness across alternative architectures. Results will be explicitly mapped to existing </w:t>
      </w:r>
      <w:r w:rsidR="00F37670">
        <w:t>Nuclear Regulatory Commission (</w:t>
      </w:r>
      <w:r>
        <w:t>NRC</w:t>
      </w:r>
      <w:r w:rsidR="00F37670">
        <w:t>)</w:t>
      </w:r>
      <w:r>
        <w:t xml:space="preserve"> and </w:t>
      </w:r>
      <w:r w:rsidR="00F37670">
        <w:t>other</w:t>
      </w:r>
      <w:r>
        <w:t xml:space="preserve"> cybersecurity </w:t>
      </w:r>
      <w:r w:rsidR="00F37670">
        <w:t xml:space="preserve">standards </w:t>
      </w:r>
      <w:r>
        <w:t>to assess licensing relevance and regulatory implications.</w:t>
      </w:r>
    </w:p>
    <w:p w14:paraId="42AFD1CD" w14:textId="77777777" w:rsidR="002943A5" w:rsidRDefault="002943A5" w:rsidP="00365850">
      <w:pPr>
        <w:spacing w:line="240" w:lineRule="auto"/>
        <w:contextualSpacing/>
        <w:jc w:val="both"/>
      </w:pPr>
    </w:p>
    <w:p w14:paraId="4F004ED3" w14:textId="3F500998" w:rsidR="009F262E" w:rsidRPr="009F262E" w:rsidRDefault="009F262E" w:rsidP="00365850">
      <w:pPr>
        <w:spacing w:line="240" w:lineRule="auto"/>
        <w:contextualSpacing/>
        <w:jc w:val="both"/>
      </w:pPr>
      <w:r>
        <w:t>This project builds on ongoing research under the Texas Digital Twin Nuclear Reactor Program funded by the State of Texas. It directly addresses NEUP Topic Area 11 by developing and experimentally demonstrating cybersecure remote operation concepts that reduce regulatory uncertainty and support licensing-relevant decision-making for advanced reactors.</w:t>
      </w:r>
    </w:p>
    <w:p w14:paraId="470F9B20" w14:textId="4E3D3568" w:rsidR="00954608" w:rsidRPr="00BB79FC" w:rsidRDefault="00000000" w:rsidP="00535097">
      <w:pPr>
        <w:pStyle w:val="Heading1"/>
        <w:spacing w:before="220" w:line="240" w:lineRule="auto"/>
        <w:contextualSpacing/>
        <w:rPr>
          <w:color w:val="auto"/>
        </w:rPr>
      </w:pPr>
      <w:r w:rsidRPr="00BB79FC">
        <w:rPr>
          <w:rFonts w:ascii="Times New Roman" w:hAnsi="Times New Roman"/>
          <w:color w:val="auto"/>
          <w:sz w:val="24"/>
        </w:rPr>
        <w:t xml:space="preserve">2. </w:t>
      </w:r>
      <w:r w:rsidR="00BB79FC" w:rsidRPr="00BB79FC">
        <w:rPr>
          <w:rFonts w:ascii="Times New Roman" w:hAnsi="Times New Roman"/>
          <w:color w:val="auto"/>
          <w:sz w:val="24"/>
        </w:rPr>
        <w:t xml:space="preserve">State of the Art </w:t>
      </w:r>
      <w:r w:rsidR="00BB79FC">
        <w:rPr>
          <w:rFonts w:ascii="Times New Roman" w:hAnsi="Times New Roman"/>
          <w:color w:val="auto"/>
          <w:sz w:val="24"/>
        </w:rPr>
        <w:t xml:space="preserve">and </w:t>
      </w:r>
      <w:r w:rsidRPr="00BB79FC">
        <w:rPr>
          <w:rFonts w:ascii="Times New Roman" w:hAnsi="Times New Roman"/>
          <w:color w:val="auto"/>
          <w:sz w:val="24"/>
        </w:rPr>
        <w:t>Technical Innovation</w:t>
      </w:r>
    </w:p>
    <w:p w14:paraId="4FE84679" w14:textId="77777777" w:rsidR="00366B8E" w:rsidRDefault="00D655D3" w:rsidP="00365850">
      <w:pPr>
        <w:spacing w:line="240" w:lineRule="auto"/>
        <w:contextualSpacing/>
        <w:jc w:val="both"/>
        <w:rPr>
          <w:rFonts w:cs="Times New Roman"/>
        </w:rPr>
      </w:pPr>
      <w:r w:rsidRPr="00D655D3">
        <w:rPr>
          <w:rFonts w:cs="Times New Roman"/>
        </w:rPr>
        <w:t xml:space="preserve">Research in the cybersecurity of nuclear systems and the use of digital twins in enabling their security has expanded rapidly in recent years, driven by the increasing complexity of digital instrumentation and control (DI&amp;C) systems and the economic case for remote reactor operation. As these systems become more complex and our ability to simulate them becomes more comprehensive due to the </w:t>
      </w:r>
      <w:r w:rsidR="00660F24">
        <w:rPr>
          <w:rFonts w:cs="Times New Roman"/>
        </w:rPr>
        <w:t>exponential increase in</w:t>
      </w:r>
      <w:r w:rsidRPr="00D655D3">
        <w:rPr>
          <w:rFonts w:cs="Times New Roman"/>
        </w:rPr>
        <w:t xml:space="preserve"> </w:t>
      </w:r>
      <w:r w:rsidR="00F37670">
        <w:rPr>
          <w:rFonts w:cs="Times New Roman"/>
        </w:rPr>
        <w:t xml:space="preserve">cloud </w:t>
      </w:r>
      <w:r w:rsidRPr="00D655D3">
        <w:rPr>
          <w:rFonts w:cs="Times New Roman"/>
        </w:rPr>
        <w:t>comput</w:t>
      </w:r>
      <w:r w:rsidR="00660F24">
        <w:rPr>
          <w:rFonts w:cs="Times New Roman"/>
        </w:rPr>
        <w:t>e capacity</w:t>
      </w:r>
      <w:r w:rsidRPr="00D655D3">
        <w:rPr>
          <w:rFonts w:cs="Times New Roman"/>
        </w:rPr>
        <w:t>, integrating DTs into these systems to increase safety and security becomes an obvious solution.</w:t>
      </w:r>
    </w:p>
    <w:p w14:paraId="7BFEE9EA" w14:textId="002CC0AC" w:rsidR="00D655D3" w:rsidRPr="00D655D3" w:rsidRDefault="00D655D3" w:rsidP="00365850">
      <w:pPr>
        <w:spacing w:line="240" w:lineRule="auto"/>
        <w:contextualSpacing/>
        <w:jc w:val="both"/>
        <w:rPr>
          <w:rFonts w:cs="Times New Roman"/>
        </w:rPr>
      </w:pPr>
      <w:r w:rsidRPr="00D655D3">
        <w:rPr>
          <w:rFonts w:cs="Times New Roman"/>
        </w:rPr>
        <w:lastRenderedPageBreak/>
        <w:t xml:space="preserve">On the regulatory side, efforts such as IEC 62645 have mapped nuclear-specific cybersecurity requirements onto broader ISO/IEC and NIST guidance </w:t>
      </w:r>
      <w:r w:rsidRPr="00D655D3">
        <w:rPr>
          <w:rFonts w:cs="Times New Roman"/>
        </w:rPr>
        <w:fldChar w:fldCharType="begin"/>
      </w:r>
      <w:r w:rsidRPr="00D655D3">
        <w:rPr>
          <w:rFonts w:cs="Times New Roman"/>
        </w:rPr>
        <w:instrText xml:space="preserve"> ADDIN ZOTERO_ITEM CSL_CITATION {"citationID":"a5MAKtvp","properties":{"formattedCitation":"[11], [12], [13], [14]","plainCitation":"[11], [12], [13], [14]","noteIndex":0},"citationItems":[{"id":91,"uris":["http://zotero.org/groups/5759933/items/LLYDJ6UF"],"itemData":{"id":91,"type":"standard","authority":"U.S. NUCLEAR REGULATORY COMMISSION","number":"ML21165A112","publisher":"NRC","status":"Pre-Decisional","title":"DRAFT REGULATORY GUIDE DG-5075","author":[{"family":"Garcia","given":"Ismael"},{"family":"Rivera","given":"Tammie"}]}},{"id":88,"uris":["http://zotero.org/groups/5759933/items/46Q6PLA7"],"itemData":{"id":88,"type":"document","publisher":"NRC","title":"10 CFR 73.54 Protection of digital computer and communication systems and networks","author":[{"literal":"NRC"}]}},{"id":110,"uris":["http://zotero.org/groups/5759933/items/33N7P6LH"],"itemData":{"id":110,"type":"article-journal","abstract":"Perspectives regarding evolution of these standards and development of new ones are provided in the conclusion. These standards define a common international framework, consistent with the IAEA NSS series principles, and within which the evolving country specific requirements can be developed and applied, depending on their own contexts and installations (including SMRs).","language":"en","source":"Zotero","title":"The IEC Standard Series On Cybersecurity for I&amp;C And Electrical Systems in Nuclear Power Plants","author":[{"family":"Smith","given":"Tighe"},{"family":"Quinn","given":"Edward L"},{"family":"Pietre-Cambacedes","given":"Ludovic"},{"family":"Walter","given":"Thomas"},{"family":"Bochtler","given":"Juergen"},{"family":"Rowland","given":"Michael T"}]}},{"id":156,"uris":["http://zotero.org/groups/5759933/items/TZ2AXK7M"],"itemData":{"id":156,"type":"report","abstract":"This document provides guidance on how to secure operational technology (OT) while addressing their unique performance, reliability, and safety requirements. OT encompasses a broad range of programmable systems and devices that interact with the physical environment (or manage devices that interact with the physical environment). These systems and devices detect or cause a direct change through the monitoring and/or control of devices, processes, and events. Examples include industrial control systems, building automation systems, transportation systems, physical access control systems, physical environment monitoring systems, and physical environment measurement systems. The document provides an overview of OT and typical system topologies, identifies common threats and vulnerabilities to these systems, and provides recommended security countermeasures to mitigate the associated risks.","event-place":"Gaithersburg, MD","language":"en","note":"DOI: 10.6028/NIST.SP.800-82r3","number":"NIST SP 800-82r3","page":"NIST SP 800-82r3","publisher":"National Institute of Standards and Technology (U.S.)","publisher-place":"Gaithersburg, MD","source":"DOI.org (Crossref)","title":"Guide to Operational Technology (OT) security","URL":"https://nvlpubs.nist.gov/nistpubs/SpecialPublications/NIST.SP.800-82r3.pdf","author":[{"family":"Stouffer","given":"Keith"},{"family":"Pease","given":"Michael"},{"family":"Tang","given":"CheeYee"},{"family":"Zimmerman","given":"Timothy"},{"family":"Pillitteri","given":"Victoria"},{"family":"Lightman","given":"Suzanne"},{"family":"Hahn","given":"Adam"},{"family":"Saravia","given":"Stephanie"},{"family":"Sherule","given":"Aslam"},{"family":"Thompson","given":"Michael"}],"accessed":{"date-parts":[["2024",11,17]]},"issued":{"date-parts":[["2023",9,28]]}}}],"schema":"https://github.com/citation-style-language/schema/raw/master/csl-citation.json"} </w:instrText>
      </w:r>
      <w:r w:rsidRPr="00D655D3">
        <w:rPr>
          <w:rFonts w:cs="Times New Roman"/>
        </w:rPr>
        <w:fldChar w:fldCharType="separate"/>
      </w:r>
      <w:r w:rsidRPr="00D655D3">
        <w:rPr>
          <w:rFonts w:cs="Times New Roman"/>
        </w:rPr>
        <w:t>[11], [12], [13], [14]</w:t>
      </w:r>
      <w:r w:rsidRPr="00D655D3">
        <w:rPr>
          <w:rFonts w:cs="Times New Roman"/>
        </w:rPr>
        <w:fldChar w:fldCharType="end"/>
      </w:r>
      <w:r w:rsidRPr="00D655D3">
        <w:rPr>
          <w:rFonts w:cs="Times New Roman"/>
        </w:rPr>
        <w:t xml:space="preserve">. The NRC has also published forward-looking reports anticipating that semi-automated and remotely operated advanced reactors will soon require regulatory treatment [3]. Work by national laboratories, including Sandia </w:t>
      </w:r>
      <w:r w:rsidR="00A46E98">
        <w:rPr>
          <w:rFonts w:cs="Times New Roman"/>
        </w:rPr>
        <w:t xml:space="preserve">National Laboratories (SNL) </w:t>
      </w:r>
      <w:r w:rsidRPr="00D655D3">
        <w:rPr>
          <w:rFonts w:cs="Times New Roman"/>
        </w:rPr>
        <w:t xml:space="preserve">and </w:t>
      </w:r>
      <w:r w:rsidR="008C3F8A">
        <w:rPr>
          <w:noProof/>
        </w:rPr>
        <mc:AlternateContent>
          <mc:Choice Requires="wps">
            <w:drawing>
              <wp:anchor distT="0" distB="0" distL="114300" distR="114300" simplePos="0" relativeHeight="251663360" behindDoc="0" locked="0" layoutInCell="1" allowOverlap="1" wp14:anchorId="47DCD704" wp14:editId="74D0FC79">
                <wp:simplePos x="0" y="0"/>
                <wp:positionH relativeFrom="column">
                  <wp:posOffset>0</wp:posOffset>
                </wp:positionH>
                <wp:positionV relativeFrom="paragraph">
                  <wp:posOffset>2073275</wp:posOffset>
                </wp:positionV>
                <wp:extent cx="5864225" cy="635"/>
                <wp:effectExtent l="0" t="0" r="3175" b="0"/>
                <wp:wrapSquare wrapText="bothSides"/>
                <wp:docPr id="655940773" name="Text Box 1"/>
                <wp:cNvGraphicFramePr/>
                <a:graphic xmlns:a="http://schemas.openxmlformats.org/drawingml/2006/main">
                  <a:graphicData uri="http://schemas.microsoft.com/office/word/2010/wordprocessingShape">
                    <wps:wsp>
                      <wps:cNvSpPr txBox="1"/>
                      <wps:spPr>
                        <a:xfrm>
                          <a:off x="0" y="0"/>
                          <a:ext cx="5864225" cy="635"/>
                        </a:xfrm>
                        <a:prstGeom prst="rect">
                          <a:avLst/>
                        </a:prstGeom>
                        <a:solidFill>
                          <a:prstClr val="white"/>
                        </a:solidFill>
                        <a:ln>
                          <a:noFill/>
                        </a:ln>
                      </wps:spPr>
                      <wps:txbx>
                        <w:txbxContent>
                          <w:p w14:paraId="0ADAA50E" w14:textId="331691E7" w:rsidR="008C3F8A" w:rsidRPr="008C3F8A" w:rsidRDefault="008C3F8A" w:rsidP="008C3F8A">
                            <w:pPr>
                              <w:pStyle w:val="Caption"/>
                              <w:rPr>
                                <w:rFonts w:eastAsia="Arial" w:cs="Arial"/>
                                <w:noProof/>
                                <w:color w:val="auto"/>
                                <w:sz w:val="22"/>
                                <w:szCs w:val="22"/>
                              </w:rPr>
                            </w:pPr>
                            <w:r w:rsidRPr="008C3F8A">
                              <w:rPr>
                                <w:color w:val="auto"/>
                              </w:rPr>
                              <w:t xml:space="preserve">Figure </w:t>
                            </w:r>
                            <w:r w:rsidRPr="008C3F8A">
                              <w:rPr>
                                <w:color w:val="auto"/>
                              </w:rPr>
                              <w:fldChar w:fldCharType="begin"/>
                            </w:r>
                            <w:r w:rsidRPr="008C3F8A">
                              <w:rPr>
                                <w:color w:val="auto"/>
                              </w:rPr>
                              <w:instrText xml:space="preserve"> SEQ Figure \* ARABIC </w:instrText>
                            </w:r>
                            <w:r w:rsidRPr="008C3F8A">
                              <w:rPr>
                                <w:color w:val="auto"/>
                              </w:rPr>
                              <w:fldChar w:fldCharType="separate"/>
                            </w:r>
                            <w:r w:rsidRPr="008C3F8A">
                              <w:rPr>
                                <w:noProof/>
                                <w:color w:val="auto"/>
                              </w:rPr>
                              <w:t>1</w:t>
                            </w:r>
                            <w:r w:rsidRPr="008C3F8A">
                              <w:rPr>
                                <w:color w:val="auto"/>
                              </w:rPr>
                              <w:fldChar w:fldCharType="end"/>
                            </w:r>
                            <w:r>
                              <w:rPr>
                                <w:color w:val="auto"/>
                              </w:rPr>
                              <w:t xml:space="preserve"> - </w:t>
                            </w:r>
                            <w:r w:rsidRPr="008C3F8A">
                              <w:rPr>
                                <w:rFonts w:eastAsia="Arial" w:cs="Arial"/>
                                <w:i/>
                                <w:iCs/>
                                <w:color w:val="auto"/>
                                <w:szCs w:val="22"/>
                              </w:rPr>
                              <w:t xml:space="preserve">Diagram of DTCS </w:t>
                            </w:r>
                            <w:r w:rsidR="00EC74DD">
                              <w:rPr>
                                <w:rFonts w:eastAsia="Arial" w:cs="Arial"/>
                                <w:i/>
                                <w:iCs/>
                                <w:color w:val="auto"/>
                                <w:szCs w:val="22"/>
                              </w:rPr>
                              <w:t>a</w:t>
                            </w:r>
                            <w:r w:rsidRPr="008C3F8A">
                              <w:rPr>
                                <w:rFonts w:eastAsia="Arial" w:cs="Arial"/>
                                <w:i/>
                                <w:iCs/>
                                <w:color w:val="auto"/>
                                <w:szCs w:val="22"/>
                              </w:rPr>
                              <w:t>rchitecture</w:t>
                            </w:r>
                            <w:r w:rsidR="00EC74DD">
                              <w:rPr>
                                <w:rFonts w:eastAsia="Arial" w:cs="Arial"/>
                                <w:i/>
                                <w:iCs/>
                                <w:color w:val="auto"/>
                                <w:szCs w:val="22"/>
                              </w:rPr>
                              <w:t xml:space="preserve"> as applied to a remotely operated microreactor</w:t>
                            </w:r>
                            <w:r w:rsidRPr="008C3F8A">
                              <w:rPr>
                                <w:rFonts w:eastAsia="Arial" w:cs="Arial"/>
                                <w:i/>
                                <w:iCs/>
                                <w:color w:val="auto"/>
                                <w:szCs w:val="22"/>
                              </w:rPr>
                              <w:t xml:space="preserve"> </w:t>
                            </w:r>
                            <w:r w:rsidRPr="008C3F8A">
                              <w:rPr>
                                <w:rFonts w:eastAsia="Arial" w:cs="Arial"/>
                                <w:i/>
                                <w:iCs/>
                                <w:color w:val="auto"/>
                                <w:szCs w:val="22"/>
                              </w:rPr>
                              <w:fldChar w:fldCharType="begin"/>
                            </w:r>
                            <w:r w:rsidRPr="008C3F8A">
                              <w:rPr>
                                <w:rFonts w:eastAsia="Arial" w:cs="Arial"/>
                                <w:i/>
                                <w:iCs/>
                                <w:color w:val="auto"/>
                                <w:szCs w:val="22"/>
                              </w:rPr>
                              <w:instrText xml:space="preserve"> ADDIN ZOTERO_ITEM CSL_CITATION {"citationID":"IJmY9XEW","properties":{"formattedCitation":"[4]","plainCitation":"[4]","noteIndex":0},"citationItems":[{"id":111,"uris":["http://zotero.org/groups/5759933/items/YEC92J2A"],"itemData":{"id":111,"type":"document","publisher":"Oregon State University","title":"Digital Twin Model Development for a Proof-of-Concept Study of a Novel Remote Monitoring and Operation Framework for Nuclear Microreactors","author":[{"family":"Stevens,","given":"Kealey"}],"issued":{"date-parts":[["2024",6,4]]}}}],"schema":"https://github.com/citation-style-language/schema/raw/master/csl-citation.json"} </w:instrText>
                            </w:r>
                            <w:r w:rsidRPr="008C3F8A">
                              <w:rPr>
                                <w:rFonts w:eastAsia="Arial" w:cs="Arial"/>
                                <w:i/>
                                <w:iCs/>
                                <w:color w:val="auto"/>
                                <w:szCs w:val="22"/>
                              </w:rPr>
                              <w:fldChar w:fldCharType="separate"/>
                            </w:r>
                            <w:r w:rsidRPr="008C3F8A">
                              <w:rPr>
                                <w:i/>
                                <w:iCs/>
                                <w:color w:val="auto"/>
                              </w:rPr>
                              <w:t>[4]</w:t>
                            </w:r>
                            <w:r w:rsidRPr="008C3F8A">
                              <w:rPr>
                                <w:rFonts w:eastAsia="Arial" w:cs="Arial"/>
                                <w:i/>
                                <w:iCs/>
                                <w:color w:val="auto"/>
                                <w:szCs w:val="22"/>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7DCD704" id="_x0000_t202" coordsize="21600,21600" o:spt="202" path="m,l,21600r21600,l21600,xe">
                <v:stroke joinstyle="miter"/>
                <v:path gradientshapeok="t" o:connecttype="rect"/>
              </v:shapetype>
              <v:shape id="Text Box 1" o:spid="_x0000_s1026" type="#_x0000_t202" style="position:absolute;left:0;text-align:left;margin-left:0;margin-top:163.25pt;width:461.75pt;height:.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" stroked="f">
                <v:textbox style="mso-fit-shape-to-text:t" inset="0,0,0,0">
                  <w:txbxContent>
                    <w:p w14:paraId="0ADAA50E" w14:textId="331691E7" w:rsidR="008C3F8A" w:rsidRPr="008C3F8A" w:rsidRDefault="008C3F8A" w:rsidP="008C3F8A">
                      <w:pPr>
                        <w:pStyle w:val="Caption"/>
                        <w:rPr>
                          <w:rFonts w:eastAsia="Arial" w:cs="Arial"/>
                          <w:noProof/>
                          <w:color w:val="auto"/>
                          <w:sz w:val="22"/>
                          <w:szCs w:val="22"/>
                        </w:rPr>
                      </w:pPr>
                      <w:r w:rsidRPr="008C3F8A">
                        <w:rPr>
                          <w:color w:val="auto"/>
                        </w:rPr>
                        <w:t xml:space="preserve">Figure </w:t>
                      </w:r>
                      <w:r w:rsidRPr="008C3F8A">
                        <w:rPr>
                          <w:color w:val="auto"/>
                        </w:rPr>
                        <w:fldChar w:fldCharType="begin"/>
                      </w:r>
                      <w:r w:rsidRPr="008C3F8A">
                        <w:rPr>
                          <w:color w:val="auto"/>
                        </w:rPr>
                        <w:instrText xml:space="preserve"> SEQ Figure \* ARABIC </w:instrText>
                      </w:r>
                      <w:r w:rsidRPr="008C3F8A">
                        <w:rPr>
                          <w:color w:val="auto"/>
                        </w:rPr>
                        <w:fldChar w:fldCharType="separate"/>
                      </w:r>
                      <w:r w:rsidRPr="008C3F8A">
                        <w:rPr>
                          <w:noProof/>
                          <w:color w:val="auto"/>
                        </w:rPr>
                        <w:t>1</w:t>
                      </w:r>
                      <w:r w:rsidRPr="008C3F8A">
                        <w:rPr>
                          <w:color w:val="auto"/>
                        </w:rPr>
                        <w:fldChar w:fldCharType="end"/>
                      </w:r>
                      <w:r>
                        <w:rPr>
                          <w:color w:val="auto"/>
                        </w:rPr>
                        <w:t xml:space="preserve"> - </w:t>
                      </w:r>
                      <w:r w:rsidRPr="008C3F8A">
                        <w:rPr>
                          <w:rFonts w:eastAsia="Arial" w:cs="Arial"/>
                          <w:i/>
                          <w:iCs/>
                          <w:color w:val="auto"/>
                          <w:szCs w:val="22"/>
                        </w:rPr>
                        <w:t xml:space="preserve">Diagram of DTCS </w:t>
                      </w:r>
                      <w:r w:rsidR="00EC74DD">
                        <w:rPr>
                          <w:rFonts w:eastAsia="Arial" w:cs="Arial"/>
                          <w:i/>
                          <w:iCs/>
                          <w:color w:val="auto"/>
                          <w:szCs w:val="22"/>
                        </w:rPr>
                        <w:t>a</w:t>
                      </w:r>
                      <w:r w:rsidRPr="008C3F8A">
                        <w:rPr>
                          <w:rFonts w:eastAsia="Arial" w:cs="Arial"/>
                          <w:i/>
                          <w:iCs/>
                          <w:color w:val="auto"/>
                          <w:szCs w:val="22"/>
                        </w:rPr>
                        <w:t>rchitecture</w:t>
                      </w:r>
                      <w:r w:rsidR="00EC74DD">
                        <w:rPr>
                          <w:rFonts w:eastAsia="Arial" w:cs="Arial"/>
                          <w:i/>
                          <w:iCs/>
                          <w:color w:val="auto"/>
                          <w:szCs w:val="22"/>
                        </w:rPr>
                        <w:t xml:space="preserve"> as applied to a remotely operated microreactor</w:t>
                      </w:r>
                      <w:r w:rsidRPr="008C3F8A">
                        <w:rPr>
                          <w:rFonts w:eastAsia="Arial" w:cs="Arial"/>
                          <w:i/>
                          <w:iCs/>
                          <w:color w:val="auto"/>
                          <w:szCs w:val="22"/>
                        </w:rPr>
                        <w:t xml:space="preserve"> </w:t>
                      </w:r>
                      <w:r w:rsidRPr="008C3F8A">
                        <w:rPr>
                          <w:rFonts w:eastAsia="Arial" w:cs="Arial"/>
                          <w:i/>
                          <w:iCs/>
                          <w:color w:val="auto"/>
                          <w:szCs w:val="22"/>
                        </w:rPr>
                        <w:fldChar w:fldCharType="begin"/>
                      </w:r>
                      <w:r w:rsidRPr="008C3F8A">
                        <w:rPr>
                          <w:rFonts w:eastAsia="Arial" w:cs="Arial"/>
                          <w:i/>
                          <w:iCs/>
                          <w:color w:val="auto"/>
                          <w:szCs w:val="22"/>
                        </w:rPr>
                        <w:instrText xml:space="preserve"> ADDIN ZOTERO_ITEM CSL_CITATION {"citationID":"IJmY9XEW","properties":{"formattedCitation":"[4]","plainCitation":"[4]","noteIndex":0},"citationItems":[{"id":111,"uris":["http://zotero.org/groups/5759933/items/YEC92J2A"],"itemData":{"id":111,"type":"document","publisher":"Oregon State University","title":"Digital Twin Model Development for a Proof-of-Concept Study of a Novel Remote Monitoring and Operation Framework for Nuclear Microreactors","author":[{"family":"Stevens,","given":"Kealey"}],"issued":{"date-parts":[["2024",6,4]]}}}],"schema":"https://github.com/citation-style-language/schema/raw/master/csl-citation.json"} </w:instrText>
                      </w:r>
                      <w:r w:rsidRPr="008C3F8A">
                        <w:rPr>
                          <w:rFonts w:eastAsia="Arial" w:cs="Arial"/>
                          <w:i/>
                          <w:iCs/>
                          <w:color w:val="auto"/>
                          <w:szCs w:val="22"/>
                        </w:rPr>
                        <w:fldChar w:fldCharType="separate"/>
                      </w:r>
                      <w:r w:rsidRPr="008C3F8A">
                        <w:rPr>
                          <w:i/>
                          <w:iCs/>
                          <w:color w:val="auto"/>
                        </w:rPr>
                        <w:t>[4]</w:t>
                      </w:r>
                      <w:r w:rsidRPr="008C3F8A">
                        <w:rPr>
                          <w:rFonts w:eastAsia="Arial" w:cs="Arial"/>
                          <w:i/>
                          <w:iCs/>
                          <w:color w:val="auto"/>
                          <w:szCs w:val="22"/>
                        </w:rPr>
                        <w:fldChar w:fldCharType="end"/>
                      </w:r>
                    </w:p>
                  </w:txbxContent>
                </v:textbox>
                <w10:wrap type="square"/>
              </v:shape>
            </w:pict>
          </mc:Fallback>
        </mc:AlternateContent>
      </w:r>
      <w:r w:rsidR="008C3F8A" w:rsidRPr="00984FC3">
        <w:rPr>
          <w:rFonts w:eastAsia="Arial" w:cs="Arial"/>
          <w:noProof/>
        </w:rPr>
        <w:drawing>
          <wp:anchor distT="0" distB="0" distL="114300" distR="114300" simplePos="0" relativeHeight="251657216" behindDoc="0" locked="0" layoutInCell="1" allowOverlap="1" wp14:anchorId="06667E77" wp14:editId="1DF17E74">
            <wp:simplePos x="0" y="0"/>
            <wp:positionH relativeFrom="margin">
              <wp:posOffset>0</wp:posOffset>
            </wp:positionH>
            <wp:positionV relativeFrom="margin">
              <wp:posOffset>0</wp:posOffset>
            </wp:positionV>
            <wp:extent cx="5867400" cy="2076450"/>
            <wp:effectExtent l="0" t="0" r="0" b="6350"/>
            <wp:wrapSquare wrapText="bothSides"/>
            <wp:docPr id="2018866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67400" cy="207645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A46E98">
        <w:rPr>
          <w:rFonts w:cs="Times New Roman"/>
        </w:rPr>
        <w:t>Idaho National Labor</w:t>
      </w:r>
      <w:r w:rsidR="00F83A3F">
        <w:rPr>
          <w:rFonts w:cs="Times New Roman"/>
        </w:rPr>
        <w:t xml:space="preserve">atory </w:t>
      </w:r>
      <w:r w:rsidR="00A46E98">
        <w:rPr>
          <w:rFonts w:cs="Times New Roman"/>
        </w:rPr>
        <w:t>(</w:t>
      </w:r>
      <w:r w:rsidRPr="00D655D3">
        <w:rPr>
          <w:rFonts w:cs="Times New Roman"/>
        </w:rPr>
        <w:t>INL</w:t>
      </w:r>
      <w:r w:rsidR="00A46E98">
        <w:rPr>
          <w:rFonts w:cs="Times New Roman"/>
        </w:rPr>
        <w:t>)</w:t>
      </w:r>
      <w:r w:rsidRPr="00D655D3">
        <w:rPr>
          <w:rFonts w:cs="Times New Roman"/>
        </w:rPr>
        <w:t xml:space="preserve">, has emphasized the importance of performance-based regulation, risk-informed decision making, and the potential adoption of trust-based or zero-trust architectures for operational technology environments </w:t>
      </w:r>
      <w:r w:rsidRPr="00D655D3">
        <w:rPr>
          <w:rFonts w:cs="Times New Roman"/>
        </w:rPr>
        <w:fldChar w:fldCharType="begin"/>
      </w:r>
      <w:r w:rsidRPr="00D655D3">
        <w:rPr>
          <w:rFonts w:cs="Times New Roman"/>
        </w:rPr>
        <w:instrText xml:space="preserve"> ADDIN ZOTERO_ITEM CSL_CITATION {"citationID":"39Am86pv","properties":{"formattedCitation":"[2], [15]","plainCitation":"[2], [15]","noteIndex":0},"citationItems":[{"id":104,"uris":["http://zotero.org/groups/5759933/items/7285K9V4"],"itemData":{"id":104,"type":"report","language":"en","note":"DOI: 10.2172/1854721","number":"SAND2021-11995, 1854721, 700348","page":"SAND2021-11995, 1854721, 700348","source":"DOI.org (Crossref)","title":"Cyber-Physical Risks for Advanced Reactors","URL":"https://www.osti.gov/servlets/purl/1854721/","author":[{"family":"Fasano","given":"Raymond"},{"family":"Hahn","given":"Andrew"},{"family":"James","given":"Jacob"},{"family":"Lamb","given":"Christopher"},{"family":"Haddad","given":"Alexandria"}],"accessed":{"date-parts":[["2025",8,19]]},"issued":{"date-parts":[["2021",9,1]]}}},{"id":100,"uris":["http://zotero.org/groups/5759933/items/XUS64L8E"],"itemData":{"id":100,"type":"report","abstract":"In the dynamic landscape of Operational Technology (OT), and specifically the emerging landscape for Advanced Reactors, the establishment of trust between digital assets emerges as a challenge for cybersecurity modernization. This report reviews existing approaches to authentication in Enterprise environments, and proposed methods for authentication in OT, and analyzes each for its applicability to future Advanced Reactor digital networks. Principles of authentication ranging from underlying cryptographic mechanisms to trust authorities are evaluated through the lens of OT. These facets emphasize the importance of mutual authentication in real-time environments, enabling a paradigm shift from the current approach of strong boundaries to a more malleable network that allows for flexible operation. This work finds that there is a need for evaluation and decision making by industry stakeholders, but current technologies and approaches can be adapted to fit needs and risk tolerances.","language":"en","note":"DOI: 10.2172/2430252","number":"SAND--2023-09882, 2430252","page":"SAND--2023-09882, 2430252","source":"DOI.org (Crossref)","title":"Advanced Reactor Control Systems Authentication Methods and Recommendations","URL":"https://www.osti.gov/servlets/purl/2430252/","author":[{"family":"Karch","given":"Benjamin"},{"family":"Valme","given":"Romuald"},{"family":"Tanaka","given":"Minami"},{"family":"Lamb","given":"Christopher"}],"accessed":{"date-parts":[["2025",8,19]]},"issued":{"date-parts":[["2023",10,1]]}}}],"schema":"https://github.com/citation-style-language/schema/raw/master/csl-citation.json"} </w:instrText>
      </w:r>
      <w:r w:rsidRPr="00D655D3">
        <w:rPr>
          <w:rFonts w:cs="Times New Roman"/>
        </w:rPr>
        <w:fldChar w:fldCharType="separate"/>
      </w:r>
      <w:r w:rsidRPr="00D655D3">
        <w:rPr>
          <w:rFonts w:cs="Times New Roman"/>
        </w:rPr>
        <w:t>[2], [15]</w:t>
      </w:r>
      <w:r w:rsidRPr="00D655D3">
        <w:rPr>
          <w:rFonts w:cs="Times New Roman"/>
        </w:rPr>
        <w:fldChar w:fldCharType="end"/>
      </w:r>
      <w:r w:rsidRPr="00D655D3">
        <w:rPr>
          <w:rFonts w:cs="Times New Roman"/>
        </w:rPr>
        <w:t>.</w:t>
      </w:r>
      <w:r w:rsidR="00F83A3F">
        <w:rPr>
          <w:rFonts w:cs="Times New Roman"/>
        </w:rPr>
        <w:t xml:space="preserve"> </w:t>
      </w:r>
      <w:r w:rsidRPr="00D655D3">
        <w:rPr>
          <w:rFonts w:cs="Times New Roman"/>
        </w:rPr>
        <w:t xml:space="preserve">Computational and simulation work to build and test these kinds of systems has progressed in parallel. </w:t>
      </w:r>
      <w:r w:rsidR="00F83A3F">
        <w:rPr>
          <w:rFonts w:cs="Times New Roman"/>
        </w:rPr>
        <w:t>SNL</w:t>
      </w:r>
      <w:r w:rsidRPr="00D655D3">
        <w:rPr>
          <w:rFonts w:cs="Times New Roman"/>
        </w:rPr>
        <w:t xml:space="preserve"> has developed the ARCADE framework to simulate cyberattacks on nuclear systems </w:t>
      </w:r>
      <w:r w:rsidRPr="00D655D3">
        <w:rPr>
          <w:rFonts w:cs="Times New Roman"/>
        </w:rPr>
        <w:fldChar w:fldCharType="begin"/>
      </w:r>
      <w:r w:rsidRPr="00D655D3">
        <w:rPr>
          <w:rFonts w:cs="Times New Roman"/>
        </w:rPr>
        <w:instrText xml:space="preserve"> ADDIN ZOTERO_ITEM CSL_CITATION {"citationID":"JvQmDQGV","properties":{"formattedCitation":"[16]","plainCitation":"[16]","noteIndex":0},"citationItems":[{"id":107,"uris":["http://zotero.org/groups/5759933/items/6MNQSUD3"],"itemData":{"id":107,"type":"article-journal","abstract":"The Advanced Reactor Cyber Analysis and Development Environment (ARCADE) is a collection of tools designed to enable researchers to perform cybersecurity experiments on high-fidelity cyber-physical emulations of their plant systems. ARCADE integrates plant physics simulators with emulations of control system networks to enable comprehensive analysis of control system sensitivities, cyber-attack scenarios, and their consequences. ARCADE aids in the development of Defensive Cybersecurity Architecture (DCSA), ensuring resiliency is built into the system from the start, con-tributing to a Secure-by-Design approach. ARCADE leverages the lexicon of a hazard analysis approach called System-Theoretic Process Analysis (STPA) to conduct cybersecurity experiments. STPA maps how unacceptable loss scenarios could be caused by unsafe control actions (UCAs).","language":"en","source":"Zotero","title":"Methods for Prioritizing Simulation of Unsafe Control Actions for Cybersecurity Analysis","author":[{"family":"Hahn","given":"Andrew S"},{"family":"Gray","given":"Titus"},{"family":"Beauchaine","given":"Adam"},{"family":"Dougall","given":"Fraser"},{"family":"Maccarone","given":"Lee"},{"family":"Rowland","given":"Michael T"}]}}],"schema":"https://github.com/citation-style-language/schema/raw/master/csl-citation.json"} </w:instrText>
      </w:r>
      <w:r w:rsidRPr="00D655D3">
        <w:rPr>
          <w:rFonts w:cs="Times New Roman"/>
        </w:rPr>
        <w:fldChar w:fldCharType="separate"/>
      </w:r>
      <w:r w:rsidRPr="00D655D3">
        <w:rPr>
          <w:rFonts w:cs="Times New Roman"/>
        </w:rPr>
        <w:t>[16]</w:t>
      </w:r>
      <w:r w:rsidRPr="00D655D3">
        <w:rPr>
          <w:rFonts w:cs="Times New Roman"/>
        </w:rPr>
        <w:fldChar w:fldCharType="end"/>
      </w:r>
      <w:r w:rsidRPr="00D655D3">
        <w:rPr>
          <w:rFonts w:cs="Times New Roman"/>
        </w:rPr>
        <w:t xml:space="preserve">, while </w:t>
      </w:r>
      <w:r w:rsidR="00F83A3F">
        <w:rPr>
          <w:rFonts w:cs="Times New Roman"/>
        </w:rPr>
        <w:t>INL</w:t>
      </w:r>
      <w:r w:rsidRPr="00D655D3">
        <w:rPr>
          <w:rFonts w:cs="Times New Roman"/>
        </w:rPr>
        <w:t xml:space="preserve"> has built DT for the </w:t>
      </w:r>
      <w:r w:rsidR="00F37670">
        <w:rPr>
          <w:rFonts w:cs="Times New Roman"/>
        </w:rPr>
        <w:t>multiple</w:t>
      </w:r>
      <w:r w:rsidRPr="00D655D3">
        <w:rPr>
          <w:rFonts w:cs="Times New Roman"/>
        </w:rPr>
        <w:t xml:space="preserve"> research reactor</w:t>
      </w:r>
      <w:r w:rsidR="00F37670">
        <w:rPr>
          <w:rFonts w:cs="Times New Roman"/>
        </w:rPr>
        <w:t>s</w:t>
      </w:r>
      <w:r w:rsidRPr="00D655D3">
        <w:rPr>
          <w:rFonts w:cs="Times New Roman"/>
        </w:rPr>
        <w:t xml:space="preserve"> to support remote operation studies </w:t>
      </w:r>
      <w:r w:rsidRPr="00D655D3">
        <w:rPr>
          <w:rFonts w:cs="Times New Roman"/>
        </w:rPr>
        <w:fldChar w:fldCharType="begin"/>
      </w:r>
      <w:r w:rsidRPr="00D655D3">
        <w:rPr>
          <w:rFonts w:cs="Times New Roman"/>
        </w:rPr>
        <w:instrText xml:space="preserve"> ADDIN ZOTERO_ITEM CSL_CITATION {"citationID":"Etq1zmru","properties":{"formattedCitation":"[17]","plainCitation":"[17]","noteIndex":0},"citationItems":[{"id":119,"uris":["http://zotero.org/groups/5759933/items/2MXU62BN"],"itemData":{"id":119,"type":"article-journal","abstract":"Research reactors have historically provided researchers and scientists with a means for testing and understanding the workings of nuclear phenomena. With the lack of new research reactors built in the past decades, it is important now more than ever to utilize and provide evidence for the usefulness of research reactors. This work explores the use of the AGN-201 research reactor at Idaho State University as a test bed for developing a digital twin (named the AGN-201 DT) to realize remote monitoring for nuclear reactors. The goal of the AGN-201 DT is to monitor the AGN-201 reactor and detect when undeclared events take place to provide information for a monitoring agency. The AGN-201 DT was able to detect (without a priori knowledge) when multiple undeclared experiments were placed in the core using on-the-fly machine learning and reactor physics analysis. The AGN-201 reactor provided a test bed for developing, deploying, and testing a digital twin for monitoring nuclear reactors.","container-title":"Annals of Nuclear Energy","DOI":"10.1016/j.anucene.2024.111041","ISSN":"0306-4549","language":"en","license":"https://www.elsevier.com/tdm/userlicense/1.0/","note":"publisher: Elsevier BV","page":"111041","source":"Crossref","title":"The AGN-201 Digital Twin: A test bed for remotely monitoring nuclear reactors","title-short":"The AGN-201 Digital Twin","volume":"213","author":[{"family":"Stewart","given":"Ryan"},{"family":"Treviño","given":"Eduardo"},{"family":"Shields","given":"Ashley"},{"family":"Heaps","given":"Kolton"},{"family":"Darrington","given":"John"},{"family":"Williams","given":"Quinton"},{"family":"Pope","given":"Chad"},{"family":"Scott","given":"Johnathan"},{"family":"Baker","given":"Benjamin"},{"family":"Palmer","given":"Jaden"},{"family":"Vainqueur","given":"Benoni"},{"family":"Palmer","given":"Todd S."},{"family":"Palmer","given":"Camille"},{"family":"Bays","given":"Samuel"},{"family":"Schanfein","given":"Mark"},{"family":"Reyes","given":"Gustavo"},{"family":"Ritter","given":"Christopher"}],"issued":{"date-parts":[["2025",4]]}}}],"schema":"https://github.com/citation-style-language/schema/raw/master/csl-citation.json"} </w:instrText>
      </w:r>
      <w:r w:rsidRPr="00D655D3">
        <w:rPr>
          <w:rFonts w:cs="Times New Roman"/>
        </w:rPr>
        <w:fldChar w:fldCharType="separate"/>
      </w:r>
      <w:r w:rsidRPr="00D655D3">
        <w:rPr>
          <w:rFonts w:cs="Times New Roman"/>
        </w:rPr>
        <w:t>[17]</w:t>
      </w:r>
      <w:r w:rsidRPr="00D655D3">
        <w:rPr>
          <w:rFonts w:cs="Times New Roman"/>
        </w:rPr>
        <w:fldChar w:fldCharType="end"/>
      </w:r>
      <w:r w:rsidRPr="00D655D3">
        <w:rPr>
          <w:rFonts w:cs="Times New Roman"/>
        </w:rPr>
        <w:t xml:space="preserve">. </w:t>
      </w:r>
    </w:p>
    <w:p w14:paraId="5ADA4F2E" w14:textId="1D9DDBB2" w:rsidR="008150E0" w:rsidRDefault="00D655D3" w:rsidP="00365850">
      <w:pPr>
        <w:pStyle w:val="Normal1"/>
        <w:contextualSpacing/>
        <w:jc w:val="both"/>
        <w:rPr>
          <w:rFonts w:ascii="Times New Roman" w:eastAsiaTheme="minorHAnsi" w:hAnsi="Times New Roman" w:cs="Times New Roman"/>
          <w:kern w:val="2"/>
          <w:sz w:val="22"/>
          <w:szCs w:val="22"/>
          <w:lang w:eastAsia="en-US"/>
          <w14:ligatures w14:val="standardContextual"/>
        </w:rPr>
      </w:pPr>
      <w:r w:rsidRPr="00D655D3">
        <w:rPr>
          <w:rFonts w:ascii="Times New Roman" w:eastAsiaTheme="minorHAnsi" w:hAnsi="Times New Roman" w:cs="Times New Roman"/>
          <w:kern w:val="2"/>
          <w:sz w:val="22"/>
          <w:szCs w:val="22"/>
          <w:lang w:eastAsia="en-US"/>
          <w14:ligatures w14:val="standardContextual"/>
        </w:rPr>
        <w:t xml:space="preserve">The DTCS, as originally described by Stevens [4], [5], and shown in Figure 1, makes remote operation more secure by establishing a certification process in which digital twins running at both the reactor and the control room independently predict system behavior. Commands and sensor data are only accepted when the predicted values from these twins match the measured or reported system states within predefined tolerances. This mutual verification framework ensures that both operational commands and diagnostic signals are validated against trusted models, making it significantly harder for </w:t>
      </w:r>
      <w:r w:rsidR="00121656">
        <w:rPr>
          <w:rFonts w:ascii="Times New Roman" w:eastAsiaTheme="minorHAnsi" w:hAnsi="Times New Roman" w:cs="Times New Roman"/>
          <w:kern w:val="2"/>
          <w:sz w:val="22"/>
          <w:szCs w:val="22"/>
          <w:lang w:eastAsia="en-US"/>
          <w14:ligatures w14:val="standardContextual"/>
        </w:rPr>
        <w:t>cyber-intrusion</w:t>
      </w:r>
      <w:r w:rsidRPr="00D655D3">
        <w:rPr>
          <w:rFonts w:ascii="Times New Roman" w:eastAsiaTheme="minorHAnsi" w:hAnsi="Times New Roman" w:cs="Times New Roman"/>
          <w:kern w:val="2"/>
          <w:sz w:val="22"/>
          <w:szCs w:val="22"/>
          <w:lang w:eastAsia="en-US"/>
          <w14:ligatures w14:val="standardContextual"/>
        </w:rPr>
        <w:t xml:space="preserve"> to inject false data or manipulate control actions undetected.</w:t>
      </w:r>
    </w:p>
    <w:p w14:paraId="549E8813" w14:textId="77777777" w:rsidR="00EC74DD" w:rsidRPr="00EC74DD" w:rsidRDefault="00EC74DD" w:rsidP="00365850">
      <w:pPr>
        <w:pStyle w:val="Normal1"/>
        <w:contextualSpacing/>
        <w:jc w:val="both"/>
        <w:rPr>
          <w:rFonts w:ascii="Times New Roman" w:eastAsiaTheme="minorHAnsi" w:hAnsi="Times New Roman" w:cs="Times New Roman"/>
          <w:kern w:val="2"/>
          <w:sz w:val="22"/>
          <w:szCs w:val="22"/>
          <w:lang w:eastAsia="en-US"/>
          <w14:ligatures w14:val="standardContextual"/>
        </w:rPr>
      </w:pPr>
    </w:p>
    <w:p w14:paraId="44F5FE96" w14:textId="2F1E7AD5" w:rsidR="00121656" w:rsidRDefault="00121656" w:rsidP="00365850">
      <w:pPr>
        <w:spacing w:line="240" w:lineRule="auto"/>
        <w:contextualSpacing/>
        <w:jc w:val="both"/>
        <w:rPr>
          <w:rFonts w:cs="Times New Roman"/>
        </w:rPr>
      </w:pPr>
      <w:r w:rsidRPr="00121656">
        <w:rPr>
          <w:rFonts w:cs="Times New Roman"/>
        </w:rPr>
        <w:t xml:space="preserve">Our proposed innovation is the creation of a first-of-a-kind experimental testbed for the DTCS on an operating nuclear reactor, enabling direct benchmarking of its performance and cybersecurity effectiveness against alternative remote-operation architectures. This testbed is enabled by the development at UT Austin of a low-worth aluminum control rod that will be installed as an experimental component in the </w:t>
      </w:r>
      <w:r>
        <w:rPr>
          <w:rFonts w:cs="Times New Roman"/>
        </w:rPr>
        <w:t xml:space="preserve">UT </w:t>
      </w:r>
      <w:r w:rsidRPr="00121656">
        <w:rPr>
          <w:rFonts w:cs="Times New Roman"/>
        </w:rPr>
        <w:t xml:space="preserve">TRIGA reactor. The </w:t>
      </w:r>
      <w:r w:rsidR="00F37670">
        <w:rPr>
          <w:rFonts w:cs="Times New Roman"/>
        </w:rPr>
        <w:t>control rod</w:t>
      </w:r>
      <w:r w:rsidRPr="00121656">
        <w:rPr>
          <w:rFonts w:cs="Times New Roman"/>
        </w:rPr>
        <w:t xml:space="preserve"> is designed to smooth reactor power fluctuations and, while power-affecting, is </w:t>
      </w:r>
      <w:r w:rsidR="00366B8E">
        <w:rPr>
          <w:rFonts w:cs="Times New Roman"/>
        </w:rPr>
        <w:t xml:space="preserve">a </w:t>
      </w:r>
      <w:r w:rsidR="00366B8E" w:rsidRPr="00366B8E">
        <w:rPr>
          <w:rFonts w:cs="Times New Roman"/>
        </w:rPr>
        <w:t>non-safety-related structure, system, or component (SSC)</w:t>
      </w:r>
      <w:r w:rsidRPr="00121656">
        <w:rPr>
          <w:rFonts w:cs="Times New Roman"/>
        </w:rPr>
        <w:t>, allowing it to be operated as a reactor experiment under controlled conditions.</w:t>
      </w:r>
    </w:p>
    <w:p w14:paraId="257B5EE9" w14:textId="77777777" w:rsidR="00D97F1D" w:rsidRPr="00366B8E" w:rsidRDefault="00D97F1D" w:rsidP="00365850">
      <w:pPr>
        <w:spacing w:line="240" w:lineRule="auto"/>
        <w:contextualSpacing/>
        <w:jc w:val="both"/>
        <w:rPr>
          <w:rFonts w:cs="Times New Roman"/>
          <w:iCs/>
        </w:rPr>
      </w:pPr>
    </w:p>
    <w:p w14:paraId="1A5DD2AD" w14:textId="49B0C670" w:rsidR="00121656" w:rsidRDefault="00121656" w:rsidP="00365850">
      <w:pPr>
        <w:spacing w:line="240" w:lineRule="auto"/>
        <w:contextualSpacing/>
        <w:jc w:val="both"/>
        <w:rPr>
          <w:rFonts w:cs="Times New Roman"/>
        </w:rPr>
      </w:pPr>
      <w:r w:rsidRPr="00121656">
        <w:rPr>
          <w:rFonts w:cs="Times New Roman"/>
        </w:rPr>
        <w:t>This configuration creates a unique and previously unavailable opportunity to prototype and evaluate remote operation technologies under realistic nuclear operating conditions without compromising reactor safety. To date, aside from NRC-mandated emergency shutdown panels (</w:t>
      </w:r>
      <w:r w:rsidR="00F37670" w:rsidRPr="00F37670">
        <w:rPr>
          <w:rFonts w:cs="Times New Roman"/>
          <w:i/>
          <w:iCs/>
        </w:rPr>
        <w:t>i.e.</w:t>
      </w:r>
      <w:r w:rsidR="00F37670">
        <w:rPr>
          <w:rFonts w:cs="Times New Roman"/>
        </w:rPr>
        <w:t xml:space="preserve"> under Code of Federal Regulations </w:t>
      </w:r>
      <w:r w:rsidRPr="00121656">
        <w:rPr>
          <w:rFonts w:cs="Times New Roman"/>
        </w:rPr>
        <w:t>10 CFR 50.48</w:t>
      </w:r>
      <w:r w:rsidR="00366B8E">
        <w:rPr>
          <w:rFonts w:cs="Times New Roman"/>
        </w:rPr>
        <w:t xml:space="preserve"> </w:t>
      </w:r>
      <w:r w:rsidR="00366B8E" w:rsidRPr="001C79D2">
        <w:rPr>
          <w:rFonts w:cs="Times New Roman"/>
        </w:rPr>
        <w:t>[12]</w:t>
      </w:r>
      <w:r w:rsidRPr="00121656">
        <w:rPr>
          <w:rFonts w:cs="Times New Roman"/>
        </w:rPr>
        <w:t xml:space="preserve">), remote control of power-affecting devices has not been implemented or experimentally evaluated </w:t>
      </w:r>
      <w:r w:rsidR="00F37670">
        <w:rPr>
          <w:rFonts w:cs="Times New Roman"/>
        </w:rPr>
        <w:t>at</w:t>
      </w:r>
      <w:r w:rsidRPr="00121656">
        <w:rPr>
          <w:rFonts w:cs="Times New Roman"/>
        </w:rPr>
        <w:t xml:space="preserve"> an operating nuclear reactor</w:t>
      </w:r>
      <w:r w:rsidR="00366B8E">
        <w:rPr>
          <w:rFonts w:cs="Times New Roman"/>
        </w:rPr>
        <w:t xml:space="preserve"> </w:t>
      </w:r>
      <w:r w:rsidR="00366B8E">
        <w:rPr>
          <w:rFonts w:cs="Times New Roman"/>
        </w:rPr>
        <w:t>(to the knowledge of the authors</w:t>
      </w:r>
      <w:r w:rsidR="00366B8E">
        <w:rPr>
          <w:rFonts w:cs="Times New Roman"/>
        </w:rPr>
        <w:t>)</w:t>
      </w:r>
      <w:r w:rsidRPr="00121656">
        <w:rPr>
          <w:rFonts w:cs="Times New Roman"/>
        </w:rPr>
        <w:t>. The proposed testbed therefore represents a significant advance, providing regulator-relevant evidence on the feasibility, performance, and cybersecurity implications of digitally mediated remote control in nuclear systems.</w:t>
      </w:r>
    </w:p>
    <w:p w14:paraId="05F17CAE" w14:textId="2696D084" w:rsidR="00954608" w:rsidRPr="00D655D3" w:rsidRDefault="00A46E98" w:rsidP="00365850">
      <w:pPr>
        <w:spacing w:line="240" w:lineRule="auto"/>
        <w:contextualSpacing/>
        <w:jc w:val="both"/>
        <w:rPr>
          <w:rFonts w:cs="Times New Roman"/>
        </w:rPr>
      </w:pPr>
      <w:r w:rsidRPr="00A46E98">
        <w:rPr>
          <w:rFonts w:cs="Times New Roman"/>
        </w:rPr>
        <w:t>Alongside DTCS, the project will remain open to exploring other DT-based security architectures and data security techniques such as obfuscation techniques (</w:t>
      </w:r>
      <w:r w:rsidRPr="00235745">
        <w:rPr>
          <w:rFonts w:cs="Times New Roman"/>
          <w:i/>
          <w:iCs/>
        </w:rPr>
        <w:t>e.g.</w:t>
      </w:r>
      <w:r w:rsidRPr="00A46E98">
        <w:rPr>
          <w:rFonts w:cs="Times New Roman"/>
        </w:rPr>
        <w:t xml:space="preserve">, Directed Infusion of Data (DIOD)  </w:t>
      </w:r>
      <w:r w:rsidRPr="00A46E98">
        <w:rPr>
          <w:rFonts w:cs="Times New Roman"/>
        </w:rPr>
        <w:fldChar w:fldCharType="begin"/>
      </w:r>
      <w:r w:rsidRPr="00A46E98">
        <w:rPr>
          <w:rFonts w:cs="Times New Roman"/>
        </w:rPr>
        <w:instrText xml:space="preserve"> ADDIN ZOTERO_ITEM CSL_CITATION {"citationID":"4miqAKyg","properties":{"formattedCitation":"[6], [7]","plainCitation":"[6], [7]","noteIndex":0},"citationItems":[{"id":109,"uris":["http://zotero.org/groups/5759933/items/5JXD45LK"],"itemData":{"id":109,"type":"article-journal","abstract":"The rise of digitized controls in newly proposed industrial and power generation settings (e.g., next generation nuclear reactors) has seen a corresponding rise in literature investigating cybersecurity, resource optimization, safety protocols, controls, etc. Many cybersecurity researchers conduct a battery of simulations on network protocols via virtual testbeds and other procedures. However, an area that remains in academic focus is the protection of in-use data for real-time control applications amid the rising landscape of digital twin applications. In other words, how can the data be used without having to reveal it? While popular methods like encryption remain the best practice for network privacy and rising methods like differential privacy have shown promise in realms like banking and medical records, very few methods have the flexibility to offer an efficient and usable obfuscation of critical data (i.e., for control applications).","language":"en","source":"Zotero","title":"On the Control of Nonlinear Systems using DIOD","author":[{"family":"Lewis","given":"Tyler"},{"family":"Abdel-Khalik","given":"Hany S"}]}},{"id":99,"uris":["http://zotero.org/groups/5759933/items/VXJMC74T"],"itemData":{"id":99,"type":"report","abstract":"Over the past decade, cybersecurity researchers have released multiple studies highlighting the insecure nature of I&amp;C system communication protocols. In response, standards bodies have addressed the issue by adding the ability to encrypt communications to some protocols in some cases, while control system engineers have argued that encryption within these kinds of high consequence systems is in fact dangerous. Certainly, control system information between systems should be protected. But encrypting the information may not be the best way to do so. In fact, while in IT systems vendors are concerned with confidentiality, integrity, and availability, frequently in that order, in OT systems engineers are much more concerned with availability and integrity that confidentiality. In this paper, we will counter specific arguments against encrypting control system traffic, and present potential alternatives to encryption that support nuclear OT system needs more strongly that commodity IT system needs while still providing robust integrity and availability guarantees.","language":"en","note":"DOI: 10.2172/2430264","number":"SAND--2023-09883, 2430264","page":"SAND--2023-09883, 2430264","source":"DOI.org (Crossref)","title":"Barriers and Alternatives to Encryption in Critical Nuclear Systems","URL":"https://www.osti.gov/servlets/purl/2430264/","author":[{"family":"Lamb","given":"Christopher"},{"family":"Sandoval","given":"Daniel"}],"accessed":{"date-parts":[["2025",8,19]]},"issued":{"date-parts":[["2023",10,1]]}}}],"schema":"https://github.com/citation-style-language/schema/raw/master/csl-citation.json"} </w:instrText>
      </w:r>
      <w:r w:rsidRPr="00A46E98">
        <w:rPr>
          <w:rFonts w:cs="Times New Roman"/>
        </w:rPr>
        <w:fldChar w:fldCharType="separate"/>
      </w:r>
      <w:r w:rsidRPr="00A46E98">
        <w:rPr>
          <w:rFonts w:cs="Times New Roman"/>
        </w:rPr>
        <w:t>[6], [7]</w:t>
      </w:r>
      <w:r w:rsidRPr="00A46E98">
        <w:rPr>
          <w:rFonts w:cs="Times New Roman"/>
        </w:rPr>
        <w:fldChar w:fldCharType="end"/>
      </w:r>
      <w:r w:rsidRPr="00A46E98">
        <w:rPr>
          <w:rFonts w:cs="Times New Roman"/>
        </w:rPr>
        <w:t xml:space="preserve">) </w:t>
      </w:r>
      <w:r w:rsidRPr="00A46E98">
        <w:rPr>
          <w:rFonts w:cs="Times New Roman"/>
        </w:rPr>
        <w:lastRenderedPageBreak/>
        <w:t xml:space="preserve">and anomaly-detecting DTs </w:t>
      </w:r>
      <w:r w:rsidRPr="00A46E98">
        <w:rPr>
          <w:rFonts w:cs="Times New Roman"/>
        </w:rPr>
        <w:fldChar w:fldCharType="begin"/>
      </w:r>
      <w:r w:rsidRPr="00A46E98">
        <w:rPr>
          <w:rFonts w:cs="Times New Roman"/>
        </w:rPr>
        <w:instrText xml:space="preserve"> ADDIN ZOTERO_ITEM CSL_CITATION {"citationID":"1DX3QLKW","properties":{"formattedCitation":"[8], [9], [10]","plainCitation":"[8], [9], [10]","noteIndex":0},"citationItems":[{"id":118,"uris":["http://zotero.org/groups/5759933/items/M698LWIZ"],"itemData":{"id":118,"type":"article-journal","abstract":"Resilience is an essential property for resisting cyber-attacks and ensuring the stability of industrial cyberphysical systems (ICPSs). This paper proposes a novel digital twin-based resilient model predictive control method for ICPSs with intelligent false data injection (FDI) attacks. Firstly, a general digital twin is developed based on the LSTM model to predict the next system state. Specifically, the sensor measurements are utilized to predict the actual system state when the system is running normally; When the system is under attacks, the digital twin turns to a self-iteration mode and starts a roll-back mechanism to predict the system state by using the historical datasets. Then, a resilient Lyapunov-based MPC method with the predictive model established by the digital twin is designed to resist intelligent false data injection attacks and the stability of the closed-loop system is ensured. Finally, the experiments with three types of intelligent false data injection attacks are conducted on a self-build hardware-in-the-loop platform to test the performance of the proposed control framework for the industrial two-CSTR-in-series process. The results show that the digital twin can accurately replicate the system behaviors and the proposed control scheme is efficient to resist cyber-attacks and guarantee the system stability.","container-title":"IEEE Journal of Emerging and Selected Topics in Industrial Electronics","DOI":"10.1109/jestie.2025.3528881","ISSN":"2687-9735, 2687-9743","journalAbbreviation":"IEEE J. Emerg. Sel. Top. Ind. Electron.","language":"en","license":"https://ieeexplore.ieee.org/Xplorehelp/downloads/license-information/IEEE.html","note":"publisher: Institute of Electrical and Electronics Engineers (IEEE)","page":"1-10","source":"Crossref","title":"Digital Twin-Based Resilient Model Predictive Control for Industrial Cyber-Physical Systems","author":[{"family":"Zhang","given":"Yichi"},{"family":"Du","given":"Chenglong"},{"family":"Chen","given":"Zhengganzhe"},{"family":"Feng","given":"Zhenxiang"},{"family":"Gui","given":"Weihua"}],"issued":{"date-parts":[["2025"]]}}},{"id":95,"uris":["http://zotero.org/groups/5759933/items/6P4KAS2J"],"itemData":{"id":95,"type":"article-journal","abstract":"A data-driven reduced order model is presented for the purpose of building a digital twin in TRIGA research reactors. To promote real-time evaluation while characterizing the effects of external inputs, the nonlinear dynamics of a multiphysics transient are described by the dynamic mode decomposition method. The reduced model is able to track both multigroup flux and pin powers over the transient maintaining a relative flux error below 1.3%.","language":"en","source":"Zotero","title":"A Multiphysics Reduced Order Model in TRIGA Reactors Using Dynamic Mode Decomposition","author":[{"family":"Ross","given":"John"},{"family":"Collins","given":"Ben"},{"family":"Gentry","given":"Cole"},{"family":"Clarno","given":"Kevin"}]}},{"id":83,"uris":["http://zotero.org/groups/5759933/items/WV2SDAEZ"],"itemData":{"id":83,"type":"paper-conference","container-title":"13th Nuclear Plant Instrumentation, Control &amp; Human-Machine Interface Technologies (NPIC&amp;HMIT 2023)","DOI":"10.13182/NPICHMIT23-41192","event-place":"Knoxville, TN","event-title":"13th Nuclear Plant Instrumentation, Control &amp; Human-Machine Interface Technologies (NPIC&amp;HMIT 2023)","ISBN":"978-0-89448-791-0","language":"en","page":"710-719","publisher":"American Nuclear Society","publisher-place":"Knoxville, TN","source":"DOI.org (Crossref)","title":"Technical Challenges and Gaps in Integration of Advanced Sensors, Instrumentation, and Communication Technologies with Digital Twins for Nuclear Application","URL":"https://www.ans.org/pubs/proceedings/article-53789/","author":[{"family":"Seo","given":"Jeongwon"},{"literal":"William S. Charlton"}],"accessed":{"date-parts":[["2025",8,20]]},"issued":{"date-parts":[["2023"]]}}}],"schema":"https://github.com/citation-style-language/schema/raw/master/csl-citation.json"} </w:instrText>
      </w:r>
      <w:r w:rsidRPr="00A46E98">
        <w:rPr>
          <w:rFonts w:cs="Times New Roman"/>
        </w:rPr>
        <w:fldChar w:fldCharType="separate"/>
      </w:r>
      <w:r w:rsidRPr="00A46E98">
        <w:rPr>
          <w:rFonts w:cs="Times New Roman"/>
        </w:rPr>
        <w:t>[8], [9], [10]</w:t>
      </w:r>
      <w:r w:rsidRPr="00A46E98">
        <w:rPr>
          <w:rFonts w:cs="Times New Roman"/>
        </w:rPr>
        <w:fldChar w:fldCharType="end"/>
      </w:r>
      <w:r w:rsidRPr="00A46E98">
        <w:rPr>
          <w:rFonts w:cs="Times New Roman"/>
        </w:rPr>
        <w:t>. Together, these approaches represent a broad solution space of DT configurations and data security techniques that could be deployed to secure remote operation</w:t>
      </w:r>
      <w:r w:rsidR="00F37670">
        <w:rPr>
          <w:rFonts w:cs="Times New Roman"/>
        </w:rPr>
        <w:t>s</w:t>
      </w:r>
      <w:r w:rsidRPr="00A46E98">
        <w:rPr>
          <w:rFonts w:cs="Times New Roman"/>
        </w:rPr>
        <w:t>. These range from high-fidelity physics-based models to lightweight reduced-order or machine-learning backed twins, each with tradeoffs in computational speed, accuracy, and resource requirements. How such heterogeneous DTs should be combined and validated to maximize system integrity remains an</w:t>
      </w:r>
      <w:r w:rsidR="00F37670">
        <w:rPr>
          <w:rFonts w:cs="Times New Roman"/>
        </w:rPr>
        <w:t xml:space="preserve"> unresolved</w:t>
      </w:r>
      <w:r w:rsidRPr="00A46E98">
        <w:rPr>
          <w:rFonts w:cs="Times New Roman"/>
        </w:rPr>
        <w:t xml:space="preserve"> research question.</w:t>
      </w:r>
    </w:p>
    <w:p w14:paraId="1C48D948" w14:textId="77777777" w:rsidR="00954608" w:rsidRPr="00BB79FC" w:rsidRDefault="00000000" w:rsidP="00535097">
      <w:pPr>
        <w:pStyle w:val="Heading1"/>
        <w:spacing w:before="220" w:line="240" w:lineRule="auto"/>
        <w:contextualSpacing/>
        <w:rPr>
          <w:color w:val="auto"/>
        </w:rPr>
      </w:pPr>
      <w:r w:rsidRPr="00BB79FC">
        <w:rPr>
          <w:rFonts w:ascii="Times New Roman" w:hAnsi="Times New Roman"/>
          <w:color w:val="auto"/>
          <w:sz w:val="24"/>
        </w:rPr>
        <w:t>3. Technical Approach</w:t>
      </w:r>
    </w:p>
    <w:p w14:paraId="7D561B48" w14:textId="22F0DBB2" w:rsidR="00F37670" w:rsidRDefault="00F37670" w:rsidP="00365850">
      <w:pPr>
        <w:spacing w:line="240" w:lineRule="auto"/>
        <w:contextualSpacing/>
        <w:jc w:val="both"/>
        <w:rPr>
          <w:rFonts w:cs="Times New Roman"/>
        </w:rPr>
      </w:pPr>
      <w:r w:rsidRPr="00A46E98">
        <w:rPr>
          <w:rFonts w:cs="Times New Roman"/>
        </w:rPr>
        <w:t xml:space="preserve">This project will design and demonstrate a set of DT-enabled remote operation architectures, primarily DTCS, for the aluminum smoothing rod to be installed at </w:t>
      </w:r>
      <w:r w:rsidR="00CC12A8">
        <w:rPr>
          <w:rFonts w:cs="Times New Roman"/>
        </w:rPr>
        <w:t>the UT TRIGA</w:t>
      </w:r>
      <w:r w:rsidRPr="00A46E98">
        <w:rPr>
          <w:rFonts w:cs="Times New Roman"/>
        </w:rPr>
        <w:t xml:space="preserve">, building on the </w:t>
      </w:r>
      <w:r w:rsidR="00CC12A8">
        <w:rPr>
          <w:rFonts w:cs="Times New Roman"/>
        </w:rPr>
        <w:t xml:space="preserve">ongoing research under the </w:t>
      </w:r>
      <w:r w:rsidR="00CC12A8">
        <w:t>Texas Digital Twin Nuclear Reactor Program funded by the State of Texas</w:t>
      </w:r>
      <w:r w:rsidRPr="00A46E98">
        <w:rPr>
          <w:rFonts w:cs="Times New Roman"/>
        </w:rPr>
        <w:t>. The demonstrations will explicitly test the systems against man-in-the-middle (MitM) attacks, compromised DT scenarios, malicious operator commands, and failed sensors. The resulting architectures will be mapped to existing regulatory frameworks to illustrate how DT-based cybersecurity systems can meet or exceed regulatory cybersecurity controls for nuclear facilities.</w:t>
      </w:r>
    </w:p>
    <w:p w14:paraId="402F8E66" w14:textId="77777777" w:rsidR="00535097" w:rsidRDefault="00535097" w:rsidP="00365850">
      <w:pPr>
        <w:spacing w:line="240" w:lineRule="auto"/>
        <w:contextualSpacing/>
        <w:jc w:val="both"/>
        <w:rPr>
          <w:rFonts w:cs="Times New Roman"/>
        </w:rPr>
      </w:pPr>
    </w:p>
    <w:p w14:paraId="7F2CCC1E" w14:textId="436C610E" w:rsidR="00797B42" w:rsidRDefault="0060492D" w:rsidP="00365850">
      <w:pPr>
        <w:spacing w:line="240" w:lineRule="auto"/>
        <w:contextualSpacing/>
        <w:jc w:val="both"/>
        <w:rPr>
          <w:rFonts w:cs="Times New Roman"/>
        </w:rPr>
      </w:pPr>
      <w:r w:rsidRPr="0060492D">
        <w:rPr>
          <w:rFonts w:cs="Times New Roman"/>
          <w:b/>
          <w:bCs/>
        </w:rPr>
        <w:t>Task 1</w:t>
      </w:r>
      <w:r w:rsidR="00797B42" w:rsidRPr="00344508">
        <w:rPr>
          <w:rFonts w:cs="Times New Roman"/>
        </w:rPr>
        <w:t xml:space="preserve"> will leverage existing physics-based and data-driven DTs </w:t>
      </w:r>
      <w:r w:rsidR="00CC12A8">
        <w:rPr>
          <w:rFonts w:cs="Times New Roman"/>
        </w:rPr>
        <w:t>the UT TRIGA</w:t>
      </w:r>
      <w:r w:rsidR="00797B42" w:rsidRPr="00344508">
        <w:rPr>
          <w:rFonts w:cs="Times New Roman"/>
        </w:rPr>
        <w:t xml:space="preserve"> developed by UT </w:t>
      </w:r>
      <w:r w:rsidR="00797B42" w:rsidRPr="00344508">
        <w:rPr>
          <w:rFonts w:cs="Times New Roman"/>
        </w:rPr>
        <w:fldChar w:fldCharType="begin"/>
      </w:r>
      <w:r w:rsidR="00797B42" w:rsidRPr="00344508">
        <w:rPr>
          <w:rFonts w:cs="Times New Roman"/>
        </w:rPr>
        <w:instrText xml:space="preserve"> ADDIN ZOTERO_ITEM CSL_CITATION {"citationID":"Qsc7BPvj","properties":{"formattedCitation":"[9], [10]","plainCitation":"[9], [10]","noteIndex":0},"citationItems":[{"id":95,"uris":["http://zotero.org/groups/5759933/items/6P4KAS2J"],"itemData":{"id":95,"type":"article-journal","abstract":"A data-driven reduced order model is presented for the purpose of building a digital twin in TRIGA research reactors. To promote real-time evaluation while characterizing the effects of external inputs, the nonlinear dynamics of a multiphysics transient are described by the dynamic mode decomposition method. The reduced model is able to track both multigroup flux and pin powers over the transient maintaining a relative flux error below 1.3%.","language":"en","source":"Zotero","title":"A Multiphysics Reduced Order Model in TRIGA Reactors Using Dynamic Mode Decomposition","author":[{"family":"Ross","given":"John"},{"family":"Collins","given":"Ben"},{"family":"Gentry","given":"Cole"},{"family":"Clarno","given":"Kevin"}]}},{"id":83,"uris":["http://zotero.org/groups/5759933/items/WV2SDAEZ"],"itemData":{"id":83,"type":"paper-conference","container-title":"13th Nuclear Plant Instrumentation, Control &amp; Human-Machine Interface Technologies (NPIC&amp;HMIT 2023)","DOI":"10.13182/NPICHMIT23-41192","event-place":"Knoxville, TN","event-title":"13th Nuclear Plant Instrumentation, Control &amp; Human-Machine Interface Technologies (NPIC&amp;HMIT 2023)","ISBN":"978-0-89448-791-0","language":"en","page":"710-719","publisher":"American Nuclear Society","publisher-place":"Knoxville, TN","source":"DOI.org (Crossref)","title":"Technical Challenges and Gaps in Integration of Advanced Sensors, Instrumentation, and Communication Technologies with Digital Twins for Nuclear Application","URL":"https://www.ans.org/pubs/proceedings/article-53789/","author":[{"family":"Seo","given":"Jeongwon"},{"literal":"William S. Charlton"}],"accessed":{"date-parts":[["2025",8,20]]},"issued":{"date-parts":[["2023"]]}}}],"schema":"https://github.com/citation-style-language/schema/raw/master/csl-citation.json"} </w:instrText>
      </w:r>
      <w:r w:rsidR="00797B42" w:rsidRPr="00344508">
        <w:rPr>
          <w:rFonts w:cs="Times New Roman"/>
        </w:rPr>
        <w:fldChar w:fldCharType="separate"/>
      </w:r>
      <w:r w:rsidR="00797B42" w:rsidRPr="00344508">
        <w:rPr>
          <w:rFonts w:cs="Times New Roman"/>
        </w:rPr>
        <w:t>[9], [10]</w:t>
      </w:r>
      <w:r w:rsidR="00797B42" w:rsidRPr="00344508">
        <w:rPr>
          <w:rFonts w:cs="Times New Roman"/>
        </w:rPr>
        <w:fldChar w:fldCharType="end"/>
      </w:r>
      <w:r w:rsidR="00797B42" w:rsidRPr="00344508">
        <w:rPr>
          <w:rFonts w:cs="Times New Roman"/>
        </w:rPr>
        <w:t xml:space="preserve">. These will be configured as real-time predictive systems for certification of commands and sensor data. The work will explore tradeoffs between fidelity, speed, computational cost, and prediction horizon. Multiple DT systems may be deployed in parallel, for example, running a fast DT with a shorter prediction horizon to enable a more complex, higher fidelity DT with a longer prediction horizon to run without slowing down operations. This work will use the application of a DTCS system as a framework to continue the development of a refined toolbox of digital twins, each adapted to perform well in a specific metric. These DTs </w:t>
      </w:r>
      <w:r w:rsidR="008C1B84">
        <w:rPr>
          <w:rFonts w:cs="Times New Roman"/>
        </w:rPr>
        <w:t>can be comprehensively</w:t>
      </w:r>
      <w:r w:rsidR="00797B42" w:rsidRPr="00344508">
        <w:rPr>
          <w:rFonts w:cs="Times New Roman"/>
        </w:rPr>
        <w:t xml:space="preserve"> </w:t>
      </w:r>
      <w:r w:rsidR="008C1B84">
        <w:rPr>
          <w:rFonts w:cs="Times New Roman"/>
        </w:rPr>
        <w:t>combined</w:t>
      </w:r>
      <w:r w:rsidR="008C1B84" w:rsidRPr="00344508">
        <w:rPr>
          <w:rFonts w:cs="Times New Roman"/>
        </w:rPr>
        <w:t xml:space="preserve"> </w:t>
      </w:r>
      <w:r w:rsidR="00797B42" w:rsidRPr="00344508">
        <w:rPr>
          <w:rFonts w:cs="Times New Roman"/>
        </w:rPr>
        <w:t xml:space="preserve">to certifying secure communication between remote monitoring and operating stations. </w:t>
      </w:r>
    </w:p>
    <w:p w14:paraId="09D712E7" w14:textId="77777777" w:rsidR="002943A5" w:rsidRPr="00344508" w:rsidRDefault="002943A5" w:rsidP="00365850">
      <w:pPr>
        <w:spacing w:line="240" w:lineRule="auto"/>
        <w:contextualSpacing/>
        <w:jc w:val="both"/>
        <w:rPr>
          <w:rFonts w:cs="Times New Roman"/>
        </w:rPr>
      </w:pPr>
    </w:p>
    <w:p w14:paraId="6B19A55C" w14:textId="5F565A1B" w:rsidR="00797B42" w:rsidRDefault="00797B42" w:rsidP="00365850">
      <w:pPr>
        <w:spacing w:line="240" w:lineRule="auto"/>
        <w:contextualSpacing/>
        <w:jc w:val="both"/>
        <w:rPr>
          <w:rFonts w:cs="Times New Roman"/>
        </w:rPr>
      </w:pPr>
      <w:r w:rsidRPr="00344508">
        <w:rPr>
          <w:rFonts w:cs="Times New Roman"/>
        </w:rPr>
        <w:t xml:space="preserve">Our reduced-order models can be tuned to run extremely quickly </w:t>
      </w:r>
      <w:r w:rsidRPr="00344508">
        <w:rPr>
          <w:rFonts w:cs="Times New Roman"/>
        </w:rPr>
        <w:fldChar w:fldCharType="begin"/>
      </w:r>
      <w:r w:rsidRPr="00344508">
        <w:rPr>
          <w:rFonts w:cs="Times New Roman"/>
        </w:rPr>
        <w:instrText xml:space="preserve"> ADDIN ZOTERO_ITEM CSL_CITATION {"citationID":"H4vtSVQc","properties":{"formattedCitation":"[9]","plainCitation":"[9]","noteIndex":0},"citationItems":[{"id":95,"uris":["http://zotero.org/groups/5759933/items/6P4KAS2J"],"itemData":{"id":95,"type":"article-journal","abstract":"A data-driven reduced order model is presented for the purpose of building a digital twin in TRIGA research reactors. To promote real-time evaluation while characterizing the effects of external inputs, the nonlinear dynamics of a multiphysics transient are described by the dynamic mode decomposition method. The reduced model is able to track both multigroup flux and pin powers over the transient maintaining a relative flux error below 1.3%.","language":"en","source":"Zotero","title":"A Multiphysics Reduced Order Model in TRIGA Reactors Using Dynamic Mode Decomposition","author":[{"family":"Ross","given":"John"},{"family":"Collins","given":"Ben"},{"family":"Gentry","given":"Cole"},{"family":"Clarno","given":"Kevin"}]}}],"schema":"https://github.com/citation-style-language/schema/raw/master/csl-citation.json"} </w:instrText>
      </w:r>
      <w:r w:rsidRPr="00344508">
        <w:rPr>
          <w:rFonts w:cs="Times New Roman"/>
        </w:rPr>
        <w:fldChar w:fldCharType="separate"/>
      </w:r>
      <w:r w:rsidRPr="00344508">
        <w:rPr>
          <w:rFonts w:cs="Times New Roman"/>
        </w:rPr>
        <w:t>[9]</w:t>
      </w:r>
      <w:r w:rsidRPr="00344508">
        <w:rPr>
          <w:rFonts w:cs="Times New Roman"/>
        </w:rPr>
        <w:fldChar w:fldCharType="end"/>
      </w:r>
      <w:r w:rsidRPr="00344508">
        <w:rPr>
          <w:rFonts w:cs="Times New Roman"/>
        </w:rPr>
        <w:t xml:space="preserve">, allowing them to provide an initial check that a proposed control action will not cause any immediate unsafe </w:t>
      </w:r>
      <w:r w:rsidR="00CC12A8">
        <w:rPr>
          <w:rFonts w:cs="Times New Roman"/>
        </w:rPr>
        <w:t>or undesirable outcomes</w:t>
      </w:r>
      <w:r w:rsidRPr="00344508">
        <w:rPr>
          <w:rFonts w:cs="Times New Roman"/>
        </w:rPr>
        <w:t>. In this way, the reduced-order DTs act as a rapid screening tool, with the higher-fidelity DTs serving as the authoritative certifiers of long-term safety. Seo's work on integrating sensor data to constantly improve DTs can be utilized to tune DTs used for assistance in the operation of the specific reactor being controlled, resulting in improved performance</w:t>
      </w:r>
      <w:r w:rsidR="00CC12A8">
        <w:rPr>
          <w:rFonts w:cs="Times New Roman"/>
        </w:rPr>
        <w:t xml:space="preserve"> </w:t>
      </w:r>
      <w:r w:rsidR="00CC12A8" w:rsidRPr="00EC74DD">
        <w:rPr>
          <w:rFonts w:cs="Times New Roman"/>
          <w:sz w:val="24"/>
          <w:szCs w:val="24"/>
        </w:rPr>
        <w:t>[10]</w:t>
      </w:r>
      <w:r w:rsidRPr="00344508">
        <w:rPr>
          <w:rFonts w:cs="Times New Roman"/>
        </w:rPr>
        <w:t>. </w:t>
      </w:r>
    </w:p>
    <w:p w14:paraId="15DF0C83" w14:textId="77777777" w:rsidR="00535097" w:rsidRPr="00344508" w:rsidRDefault="00535097" w:rsidP="00365850">
      <w:pPr>
        <w:spacing w:line="240" w:lineRule="auto"/>
        <w:contextualSpacing/>
        <w:jc w:val="both"/>
        <w:rPr>
          <w:rFonts w:cs="Times New Roman"/>
        </w:rPr>
      </w:pPr>
    </w:p>
    <w:p w14:paraId="2642ABA7" w14:textId="5C27142F" w:rsidR="00797B42" w:rsidRDefault="0060492D" w:rsidP="00365850">
      <w:pPr>
        <w:spacing w:line="240" w:lineRule="auto"/>
        <w:contextualSpacing/>
        <w:jc w:val="both"/>
      </w:pPr>
      <w:r w:rsidRPr="0060492D">
        <w:rPr>
          <w:b/>
          <w:bCs/>
        </w:rPr>
        <w:t>Task 2</w:t>
      </w:r>
      <w:r w:rsidR="00797B42">
        <w:t xml:space="preserve"> will focus on building a certifier to compare outputs of the multiple DTs to ensure that commands and data sent to and from the reactor have not been modified. Note that in Stevens's work [4,5] the certifier was not a primary subject and was not optimized. Thresholds for acceptable DT error will be established through analysis of the regions of optimal operation. The certifier logic will be designed to flag divergences and initiate predetermined optimal-state transitions</w:t>
      </w:r>
      <w:r w:rsidR="00366B8E">
        <w:t>.</w:t>
      </w:r>
    </w:p>
    <w:p w14:paraId="713A4635" w14:textId="77777777" w:rsidR="002943A5" w:rsidRPr="00344508" w:rsidRDefault="002943A5" w:rsidP="00365850">
      <w:pPr>
        <w:spacing w:line="240" w:lineRule="auto"/>
        <w:contextualSpacing/>
        <w:jc w:val="both"/>
        <w:rPr>
          <w:rFonts w:cs="Times New Roman"/>
        </w:rPr>
      </w:pPr>
    </w:p>
    <w:p w14:paraId="54225D68" w14:textId="4EDE76A0" w:rsidR="00797B42" w:rsidRPr="00344508" w:rsidRDefault="00797B42" w:rsidP="00365850">
      <w:pPr>
        <w:spacing w:line="240" w:lineRule="auto"/>
        <w:contextualSpacing/>
        <w:jc w:val="both"/>
        <w:rPr>
          <w:rFonts w:cs="Times New Roman"/>
        </w:rPr>
      </w:pPr>
      <w:r w:rsidRPr="00344508">
        <w:rPr>
          <w:rFonts w:cs="Times New Roman"/>
        </w:rPr>
        <w:t xml:space="preserve">More specifically, different criteria for identifying when unsafe commands, or altered commands, have been sent will be evaluated and tested on a simulated system before being implemented into the physical system. For example, it is not immediately clear how predicted outputs from the certifying DTs should be compared to determine if their input has been modified. Candidates for flagging criteria </w:t>
      </w:r>
      <w:r w:rsidR="00CC12A8">
        <w:rPr>
          <w:rFonts w:cs="Times New Roman"/>
        </w:rPr>
        <w:t xml:space="preserve">to </w:t>
      </w:r>
      <w:r w:rsidRPr="00344508">
        <w:rPr>
          <w:rFonts w:cs="Times New Roman"/>
        </w:rPr>
        <w:t>determin</w:t>
      </w:r>
      <w:r w:rsidR="00CC12A8">
        <w:rPr>
          <w:rFonts w:cs="Times New Roman"/>
        </w:rPr>
        <w:t>e</w:t>
      </w:r>
      <w:r w:rsidRPr="00344508">
        <w:rPr>
          <w:rFonts w:cs="Times New Roman"/>
        </w:rPr>
        <w:t xml:space="preserve"> altered commands or data could be total weighted state error, single term error, or percent error between the predictions. When the certifier has access to multiple DT certifier systems, if the predicted error is high enough, the certifier could be programmed to request that higher fidelity DTs be run before it will</w:t>
      </w:r>
      <w:r w:rsidR="004B6EB3">
        <w:rPr>
          <w:rFonts w:cs="Times New Roman"/>
        </w:rPr>
        <w:t xml:space="preserve"> </w:t>
      </w:r>
      <w:r w:rsidRPr="00344508">
        <w:rPr>
          <w:rFonts w:cs="Times New Roman"/>
        </w:rPr>
        <w:t>certify the commands. This solution space offers a multitude of variables to optimize for, and experimental testing will be crucial to solving. </w:t>
      </w:r>
    </w:p>
    <w:p w14:paraId="4AE5C4E3" w14:textId="77777777" w:rsidR="00535097" w:rsidRDefault="00535097" w:rsidP="00535097">
      <w:pPr>
        <w:spacing w:line="240" w:lineRule="auto"/>
        <w:contextualSpacing/>
        <w:jc w:val="both"/>
        <w:rPr>
          <w:rFonts w:cs="Times New Roman"/>
        </w:rPr>
      </w:pPr>
    </w:p>
    <w:p w14:paraId="21D86BF9" w14:textId="77777777" w:rsidR="004B6EB3" w:rsidRDefault="0060492D" w:rsidP="00365850">
      <w:pPr>
        <w:spacing w:line="240" w:lineRule="auto"/>
        <w:contextualSpacing/>
        <w:jc w:val="both"/>
        <w:rPr>
          <w:rFonts w:cs="Times New Roman"/>
        </w:rPr>
      </w:pPr>
      <w:r w:rsidRPr="0060492D">
        <w:rPr>
          <w:rFonts w:cs="Times New Roman"/>
          <w:b/>
          <w:bCs/>
        </w:rPr>
        <w:t>Task 3</w:t>
      </w:r>
      <w:r w:rsidR="00797B42" w:rsidRPr="00344508">
        <w:rPr>
          <w:rFonts w:cs="Times New Roman"/>
        </w:rPr>
        <w:t xml:space="preserve"> will integrate the DTCS-secured architecture with the existing </w:t>
      </w:r>
      <w:r w:rsidR="00A33A4D">
        <w:rPr>
          <w:rFonts w:cs="Times New Roman"/>
        </w:rPr>
        <w:t>UT TRIGA</w:t>
      </w:r>
      <w:r w:rsidR="00797B42" w:rsidRPr="00344508">
        <w:rPr>
          <w:rFonts w:cs="Times New Roman"/>
        </w:rPr>
        <w:t xml:space="preserve"> infrastructure. Existing data pipelines will be used as a foundation for monitoring. The specific control hardware of the low-worth </w:t>
      </w:r>
    </w:p>
    <w:p w14:paraId="692AB90B" w14:textId="77777777" w:rsidR="004B6EB3" w:rsidRPr="00CC0696" w:rsidRDefault="004B6EB3" w:rsidP="004B6EB3">
      <w:pPr>
        <w:pStyle w:val="Caption"/>
        <w:keepNext/>
        <w:contextualSpacing/>
        <w:rPr>
          <w:color w:val="auto"/>
          <w:sz w:val="22"/>
          <w:szCs w:val="22"/>
        </w:rPr>
      </w:pPr>
      <w:r w:rsidRPr="00CC0696">
        <w:rPr>
          <w:color w:val="auto"/>
          <w:sz w:val="22"/>
          <w:szCs w:val="22"/>
        </w:rPr>
        <w:lastRenderedPageBreak/>
        <w:t xml:space="preserve">Table </w:t>
      </w:r>
      <w:r w:rsidRPr="00CC0696">
        <w:rPr>
          <w:color w:val="auto"/>
          <w:sz w:val="22"/>
          <w:szCs w:val="22"/>
        </w:rPr>
        <w:fldChar w:fldCharType="begin"/>
      </w:r>
      <w:r w:rsidRPr="00CC0696">
        <w:rPr>
          <w:color w:val="auto"/>
          <w:sz w:val="22"/>
          <w:szCs w:val="22"/>
        </w:rPr>
        <w:instrText xml:space="preserve"> SEQ Table \* ARABIC </w:instrText>
      </w:r>
      <w:r w:rsidRPr="00CC0696">
        <w:rPr>
          <w:color w:val="auto"/>
          <w:sz w:val="22"/>
          <w:szCs w:val="22"/>
        </w:rPr>
        <w:fldChar w:fldCharType="separate"/>
      </w:r>
      <w:r w:rsidRPr="00CC0696">
        <w:rPr>
          <w:noProof/>
          <w:color w:val="auto"/>
          <w:sz w:val="22"/>
          <w:szCs w:val="22"/>
        </w:rPr>
        <w:t>1</w:t>
      </w:r>
      <w:r w:rsidRPr="00CC0696">
        <w:rPr>
          <w:color w:val="auto"/>
          <w:sz w:val="22"/>
          <w:szCs w:val="22"/>
        </w:rPr>
        <w:fldChar w:fldCharType="end"/>
      </w:r>
      <w:r w:rsidRPr="00CC0696">
        <w:rPr>
          <w:color w:val="auto"/>
          <w:sz w:val="22"/>
          <w:szCs w:val="22"/>
        </w:rPr>
        <w:t xml:space="preserve"> - Gantt chart of tasks</w:t>
      </w:r>
    </w:p>
    <w:tbl>
      <w:tblPr>
        <w:tblW w:w="9468" w:type="dxa"/>
        <w:tblInd w:w="108" w:type="dxa"/>
        <w:tblLook w:val="04A0" w:firstRow="1" w:lastRow="0" w:firstColumn="1" w:lastColumn="0" w:noHBand="0" w:noVBand="1"/>
      </w:tblPr>
      <w:tblGrid>
        <w:gridCol w:w="931"/>
        <w:gridCol w:w="3181"/>
        <w:gridCol w:w="498"/>
        <w:gridCol w:w="498"/>
        <w:gridCol w:w="498"/>
        <w:gridCol w:w="498"/>
        <w:gridCol w:w="498"/>
        <w:gridCol w:w="498"/>
        <w:gridCol w:w="498"/>
        <w:gridCol w:w="498"/>
        <w:gridCol w:w="498"/>
        <w:gridCol w:w="498"/>
        <w:gridCol w:w="498"/>
        <w:gridCol w:w="498"/>
      </w:tblGrid>
      <w:tr w:rsidR="004B6EB3" w:rsidRPr="008C1B84" w14:paraId="184B03B2" w14:textId="77777777" w:rsidTr="0082478E">
        <w:trPr>
          <w:trHeight w:val="292"/>
        </w:trPr>
        <w:tc>
          <w:tcPr>
            <w:tcW w:w="931" w:type="dxa"/>
            <w:tcBorders>
              <w:top w:val="nil"/>
              <w:left w:val="nil"/>
              <w:bottom w:val="nil"/>
              <w:right w:val="nil"/>
            </w:tcBorders>
            <w:noWrap/>
            <w:vAlign w:val="bottom"/>
            <w:hideMark/>
          </w:tcPr>
          <w:p w14:paraId="2709C399" w14:textId="77777777" w:rsidR="004B6EB3" w:rsidRPr="008C1B84" w:rsidRDefault="004B6EB3" w:rsidP="0082478E">
            <w:pPr>
              <w:spacing w:after="0" w:line="240" w:lineRule="auto"/>
              <w:contextualSpacing/>
              <w:rPr>
                <w:rFonts w:cs="Times New Roman"/>
                <w:sz w:val="24"/>
                <w:szCs w:val="24"/>
              </w:rPr>
            </w:pPr>
          </w:p>
        </w:tc>
        <w:tc>
          <w:tcPr>
            <w:tcW w:w="3181" w:type="dxa"/>
            <w:tcBorders>
              <w:top w:val="nil"/>
              <w:left w:val="nil"/>
              <w:bottom w:val="nil"/>
              <w:right w:val="nil"/>
            </w:tcBorders>
            <w:noWrap/>
            <w:vAlign w:val="bottom"/>
            <w:hideMark/>
          </w:tcPr>
          <w:p w14:paraId="3CA18DF0" w14:textId="77777777" w:rsidR="004B6EB3" w:rsidRPr="008C1B84" w:rsidRDefault="004B6EB3" w:rsidP="0082478E">
            <w:pPr>
              <w:spacing w:after="0" w:line="240" w:lineRule="auto"/>
              <w:contextualSpacing/>
              <w:rPr>
                <w:rFonts w:cs="Times New Roman"/>
                <w:sz w:val="20"/>
                <w:szCs w:val="20"/>
              </w:rPr>
            </w:pPr>
          </w:p>
        </w:tc>
        <w:tc>
          <w:tcPr>
            <w:tcW w:w="1636" w:type="dxa"/>
            <w:gridSpan w:val="4"/>
            <w:tcBorders>
              <w:top w:val="single" w:sz="12" w:space="0" w:color="auto"/>
              <w:left w:val="single" w:sz="12" w:space="0" w:color="auto"/>
              <w:bottom w:val="single" w:sz="4" w:space="0" w:color="auto"/>
              <w:right w:val="single" w:sz="12" w:space="0" w:color="000000"/>
            </w:tcBorders>
            <w:noWrap/>
            <w:vAlign w:val="center"/>
            <w:hideMark/>
          </w:tcPr>
          <w:p w14:paraId="1CCF035C" w14:textId="77777777" w:rsidR="004B6EB3" w:rsidRPr="008C1B84" w:rsidRDefault="004B6EB3" w:rsidP="0082478E">
            <w:pPr>
              <w:spacing w:after="0" w:line="240" w:lineRule="auto"/>
              <w:contextualSpacing/>
              <w:jc w:val="center"/>
              <w:rPr>
                <w:rFonts w:cs="Times New Roman"/>
                <w:b/>
                <w:bCs/>
                <w:color w:val="000000"/>
              </w:rPr>
            </w:pPr>
            <w:r w:rsidRPr="008C1B84">
              <w:rPr>
                <w:rFonts w:cs="Times New Roman"/>
                <w:b/>
                <w:bCs/>
                <w:color w:val="000000"/>
              </w:rPr>
              <w:t>FY27</w:t>
            </w:r>
          </w:p>
        </w:tc>
        <w:tc>
          <w:tcPr>
            <w:tcW w:w="1860" w:type="dxa"/>
            <w:gridSpan w:val="4"/>
            <w:tcBorders>
              <w:top w:val="single" w:sz="12" w:space="0" w:color="auto"/>
              <w:left w:val="nil"/>
              <w:bottom w:val="single" w:sz="4" w:space="0" w:color="auto"/>
              <w:right w:val="single" w:sz="12" w:space="0" w:color="000000"/>
            </w:tcBorders>
            <w:noWrap/>
            <w:vAlign w:val="center"/>
            <w:hideMark/>
          </w:tcPr>
          <w:p w14:paraId="4CC0ABB9" w14:textId="77777777" w:rsidR="004B6EB3" w:rsidRPr="008C1B84" w:rsidRDefault="004B6EB3" w:rsidP="0082478E">
            <w:pPr>
              <w:spacing w:after="0" w:line="240" w:lineRule="auto"/>
              <w:contextualSpacing/>
              <w:jc w:val="center"/>
              <w:rPr>
                <w:rFonts w:cs="Times New Roman"/>
                <w:b/>
                <w:bCs/>
                <w:color w:val="000000"/>
              </w:rPr>
            </w:pPr>
            <w:r w:rsidRPr="008C1B84">
              <w:rPr>
                <w:rFonts w:cs="Times New Roman"/>
                <w:b/>
                <w:bCs/>
                <w:color w:val="000000"/>
              </w:rPr>
              <w:t>FY28</w:t>
            </w:r>
          </w:p>
        </w:tc>
        <w:tc>
          <w:tcPr>
            <w:tcW w:w="1860" w:type="dxa"/>
            <w:gridSpan w:val="4"/>
            <w:tcBorders>
              <w:top w:val="single" w:sz="12" w:space="0" w:color="auto"/>
              <w:left w:val="nil"/>
              <w:bottom w:val="single" w:sz="4" w:space="0" w:color="auto"/>
              <w:right w:val="single" w:sz="12" w:space="0" w:color="000000"/>
            </w:tcBorders>
            <w:noWrap/>
            <w:vAlign w:val="center"/>
            <w:hideMark/>
          </w:tcPr>
          <w:p w14:paraId="1688C71B" w14:textId="77777777" w:rsidR="004B6EB3" w:rsidRPr="008C1B84" w:rsidRDefault="004B6EB3" w:rsidP="0082478E">
            <w:pPr>
              <w:spacing w:after="0" w:line="240" w:lineRule="auto"/>
              <w:contextualSpacing/>
              <w:jc w:val="center"/>
              <w:rPr>
                <w:rFonts w:cs="Times New Roman"/>
                <w:b/>
                <w:bCs/>
                <w:color w:val="000000"/>
              </w:rPr>
            </w:pPr>
            <w:r w:rsidRPr="008C1B84">
              <w:rPr>
                <w:rFonts w:cs="Times New Roman"/>
                <w:b/>
                <w:bCs/>
                <w:color w:val="000000"/>
              </w:rPr>
              <w:t>FY29</w:t>
            </w:r>
          </w:p>
        </w:tc>
      </w:tr>
      <w:tr w:rsidR="004B6EB3" w:rsidRPr="008C1B84" w14:paraId="3DA26E32" w14:textId="77777777" w:rsidTr="0082478E">
        <w:trPr>
          <w:trHeight w:val="292"/>
        </w:trPr>
        <w:tc>
          <w:tcPr>
            <w:tcW w:w="931" w:type="dxa"/>
            <w:tcBorders>
              <w:top w:val="nil"/>
              <w:left w:val="nil"/>
              <w:bottom w:val="nil"/>
              <w:right w:val="nil"/>
            </w:tcBorders>
            <w:noWrap/>
            <w:vAlign w:val="bottom"/>
            <w:hideMark/>
          </w:tcPr>
          <w:p w14:paraId="10D96F93" w14:textId="77777777" w:rsidR="004B6EB3" w:rsidRPr="008C1B84" w:rsidRDefault="004B6EB3" w:rsidP="0082478E">
            <w:pPr>
              <w:spacing w:after="0" w:line="240" w:lineRule="auto"/>
              <w:contextualSpacing/>
              <w:jc w:val="center"/>
              <w:rPr>
                <w:rFonts w:ascii="Calibri" w:hAnsi="Calibri" w:cs="Calibri"/>
                <w:b/>
                <w:bCs/>
                <w:color w:val="000000"/>
                <w:sz w:val="24"/>
                <w:szCs w:val="24"/>
              </w:rPr>
            </w:pPr>
          </w:p>
        </w:tc>
        <w:tc>
          <w:tcPr>
            <w:tcW w:w="3181" w:type="dxa"/>
            <w:tcBorders>
              <w:top w:val="nil"/>
              <w:left w:val="nil"/>
              <w:bottom w:val="nil"/>
              <w:right w:val="nil"/>
            </w:tcBorders>
            <w:noWrap/>
            <w:vAlign w:val="bottom"/>
            <w:hideMark/>
          </w:tcPr>
          <w:p w14:paraId="009A1ED1" w14:textId="77777777" w:rsidR="004B6EB3" w:rsidRPr="008C1B84" w:rsidRDefault="004B6EB3" w:rsidP="0082478E">
            <w:pPr>
              <w:spacing w:after="0" w:line="240" w:lineRule="auto"/>
              <w:contextualSpacing/>
              <w:rPr>
                <w:rFonts w:cs="Times New Roman"/>
                <w:sz w:val="20"/>
                <w:szCs w:val="20"/>
              </w:rPr>
            </w:pPr>
          </w:p>
        </w:tc>
        <w:tc>
          <w:tcPr>
            <w:tcW w:w="243" w:type="dxa"/>
            <w:tcBorders>
              <w:top w:val="nil"/>
              <w:left w:val="single" w:sz="12" w:space="0" w:color="auto"/>
              <w:bottom w:val="single" w:sz="4" w:space="0" w:color="auto"/>
              <w:right w:val="single" w:sz="4" w:space="0" w:color="auto"/>
            </w:tcBorders>
            <w:noWrap/>
            <w:vAlign w:val="center"/>
            <w:hideMark/>
          </w:tcPr>
          <w:p w14:paraId="339CE52F" w14:textId="77777777" w:rsidR="004B6EB3" w:rsidRPr="008C1B84" w:rsidRDefault="004B6EB3" w:rsidP="0082478E">
            <w:pPr>
              <w:spacing w:after="0" w:line="240" w:lineRule="auto"/>
              <w:contextualSpacing/>
              <w:jc w:val="center"/>
              <w:rPr>
                <w:rFonts w:cs="Times New Roman"/>
                <w:b/>
                <w:bCs/>
                <w:color w:val="000000"/>
              </w:rPr>
            </w:pPr>
            <w:r w:rsidRPr="008C1B84">
              <w:rPr>
                <w:rFonts w:cs="Times New Roman"/>
                <w:b/>
                <w:bCs/>
                <w:color w:val="000000"/>
              </w:rPr>
              <w:t>Q1</w:t>
            </w:r>
          </w:p>
        </w:tc>
        <w:tc>
          <w:tcPr>
            <w:tcW w:w="464" w:type="dxa"/>
            <w:tcBorders>
              <w:top w:val="nil"/>
              <w:left w:val="nil"/>
              <w:bottom w:val="single" w:sz="4" w:space="0" w:color="auto"/>
              <w:right w:val="single" w:sz="4" w:space="0" w:color="auto"/>
            </w:tcBorders>
            <w:noWrap/>
            <w:vAlign w:val="center"/>
            <w:hideMark/>
          </w:tcPr>
          <w:p w14:paraId="25110AD4" w14:textId="77777777" w:rsidR="004B6EB3" w:rsidRPr="008C1B84" w:rsidRDefault="004B6EB3" w:rsidP="0082478E">
            <w:pPr>
              <w:spacing w:after="0" w:line="240" w:lineRule="auto"/>
              <w:contextualSpacing/>
              <w:jc w:val="center"/>
              <w:rPr>
                <w:rFonts w:cs="Times New Roman"/>
                <w:b/>
                <w:bCs/>
                <w:color w:val="000000"/>
              </w:rPr>
            </w:pPr>
            <w:r w:rsidRPr="008C1B84">
              <w:rPr>
                <w:rFonts w:cs="Times New Roman"/>
                <w:b/>
                <w:bCs/>
                <w:color w:val="000000"/>
              </w:rPr>
              <w:t>Q2</w:t>
            </w:r>
          </w:p>
        </w:tc>
        <w:tc>
          <w:tcPr>
            <w:tcW w:w="464" w:type="dxa"/>
            <w:tcBorders>
              <w:top w:val="nil"/>
              <w:left w:val="nil"/>
              <w:bottom w:val="single" w:sz="4" w:space="0" w:color="auto"/>
              <w:right w:val="single" w:sz="4" w:space="0" w:color="auto"/>
            </w:tcBorders>
            <w:noWrap/>
            <w:vAlign w:val="center"/>
            <w:hideMark/>
          </w:tcPr>
          <w:p w14:paraId="19D92253" w14:textId="77777777" w:rsidR="004B6EB3" w:rsidRPr="008C1B84" w:rsidRDefault="004B6EB3" w:rsidP="0082478E">
            <w:pPr>
              <w:spacing w:after="0" w:line="240" w:lineRule="auto"/>
              <w:contextualSpacing/>
              <w:jc w:val="center"/>
              <w:rPr>
                <w:rFonts w:cs="Times New Roman"/>
                <w:b/>
                <w:bCs/>
                <w:color w:val="000000"/>
              </w:rPr>
            </w:pPr>
            <w:r w:rsidRPr="008C1B84">
              <w:rPr>
                <w:rFonts w:cs="Times New Roman"/>
                <w:b/>
                <w:bCs/>
                <w:color w:val="000000"/>
              </w:rPr>
              <w:t>Q3</w:t>
            </w:r>
          </w:p>
        </w:tc>
        <w:tc>
          <w:tcPr>
            <w:tcW w:w="465" w:type="dxa"/>
            <w:tcBorders>
              <w:top w:val="nil"/>
              <w:left w:val="nil"/>
              <w:bottom w:val="single" w:sz="4" w:space="0" w:color="auto"/>
              <w:right w:val="single" w:sz="12" w:space="0" w:color="auto"/>
            </w:tcBorders>
            <w:noWrap/>
            <w:vAlign w:val="center"/>
            <w:hideMark/>
          </w:tcPr>
          <w:p w14:paraId="3A0687EE" w14:textId="77777777" w:rsidR="004B6EB3" w:rsidRPr="008C1B84" w:rsidRDefault="004B6EB3" w:rsidP="0082478E">
            <w:pPr>
              <w:spacing w:after="0" w:line="240" w:lineRule="auto"/>
              <w:contextualSpacing/>
              <w:jc w:val="center"/>
              <w:rPr>
                <w:rFonts w:cs="Times New Roman"/>
                <w:b/>
                <w:bCs/>
                <w:color w:val="000000"/>
              </w:rPr>
            </w:pPr>
            <w:r w:rsidRPr="008C1B84">
              <w:rPr>
                <w:rFonts w:cs="Times New Roman"/>
                <w:b/>
                <w:bCs/>
                <w:color w:val="000000"/>
              </w:rPr>
              <w:t>Q4</w:t>
            </w:r>
          </w:p>
        </w:tc>
        <w:tc>
          <w:tcPr>
            <w:tcW w:w="465" w:type="dxa"/>
            <w:tcBorders>
              <w:top w:val="nil"/>
              <w:left w:val="nil"/>
              <w:bottom w:val="single" w:sz="4" w:space="0" w:color="auto"/>
              <w:right w:val="single" w:sz="4" w:space="0" w:color="auto"/>
            </w:tcBorders>
            <w:noWrap/>
            <w:vAlign w:val="center"/>
            <w:hideMark/>
          </w:tcPr>
          <w:p w14:paraId="27999961" w14:textId="77777777" w:rsidR="004B6EB3" w:rsidRPr="008C1B84" w:rsidRDefault="004B6EB3" w:rsidP="0082478E">
            <w:pPr>
              <w:spacing w:after="0" w:line="240" w:lineRule="auto"/>
              <w:contextualSpacing/>
              <w:jc w:val="center"/>
              <w:rPr>
                <w:rFonts w:cs="Times New Roman"/>
                <w:b/>
                <w:bCs/>
                <w:color w:val="000000"/>
              </w:rPr>
            </w:pPr>
            <w:r w:rsidRPr="008C1B84">
              <w:rPr>
                <w:rFonts w:cs="Times New Roman"/>
                <w:b/>
                <w:bCs/>
                <w:color w:val="000000"/>
              </w:rPr>
              <w:t>Q1</w:t>
            </w:r>
          </w:p>
        </w:tc>
        <w:tc>
          <w:tcPr>
            <w:tcW w:w="465" w:type="dxa"/>
            <w:tcBorders>
              <w:top w:val="nil"/>
              <w:left w:val="nil"/>
              <w:bottom w:val="single" w:sz="4" w:space="0" w:color="auto"/>
              <w:right w:val="single" w:sz="4" w:space="0" w:color="auto"/>
            </w:tcBorders>
            <w:noWrap/>
            <w:vAlign w:val="center"/>
            <w:hideMark/>
          </w:tcPr>
          <w:p w14:paraId="4A9DED4A" w14:textId="77777777" w:rsidR="004B6EB3" w:rsidRPr="008C1B84" w:rsidRDefault="004B6EB3" w:rsidP="0082478E">
            <w:pPr>
              <w:spacing w:after="0" w:line="240" w:lineRule="auto"/>
              <w:contextualSpacing/>
              <w:jc w:val="center"/>
              <w:rPr>
                <w:rFonts w:cs="Times New Roman"/>
                <w:b/>
                <w:bCs/>
                <w:color w:val="000000"/>
              </w:rPr>
            </w:pPr>
            <w:r w:rsidRPr="008C1B84">
              <w:rPr>
                <w:rFonts w:cs="Times New Roman"/>
                <w:b/>
                <w:bCs/>
                <w:color w:val="000000"/>
              </w:rPr>
              <w:t>Q2</w:t>
            </w:r>
          </w:p>
        </w:tc>
        <w:tc>
          <w:tcPr>
            <w:tcW w:w="465" w:type="dxa"/>
            <w:tcBorders>
              <w:top w:val="nil"/>
              <w:left w:val="nil"/>
              <w:bottom w:val="single" w:sz="4" w:space="0" w:color="auto"/>
              <w:right w:val="single" w:sz="4" w:space="0" w:color="auto"/>
            </w:tcBorders>
            <w:noWrap/>
            <w:vAlign w:val="center"/>
            <w:hideMark/>
          </w:tcPr>
          <w:p w14:paraId="27A4FB90" w14:textId="77777777" w:rsidR="004B6EB3" w:rsidRPr="008C1B84" w:rsidRDefault="004B6EB3" w:rsidP="0082478E">
            <w:pPr>
              <w:spacing w:after="0" w:line="240" w:lineRule="auto"/>
              <w:contextualSpacing/>
              <w:jc w:val="center"/>
              <w:rPr>
                <w:rFonts w:cs="Times New Roman"/>
                <w:b/>
                <w:bCs/>
                <w:color w:val="000000"/>
              </w:rPr>
            </w:pPr>
            <w:r w:rsidRPr="008C1B84">
              <w:rPr>
                <w:rFonts w:cs="Times New Roman"/>
                <w:b/>
                <w:bCs/>
                <w:color w:val="000000"/>
              </w:rPr>
              <w:t>Q3</w:t>
            </w:r>
          </w:p>
        </w:tc>
        <w:tc>
          <w:tcPr>
            <w:tcW w:w="465" w:type="dxa"/>
            <w:tcBorders>
              <w:top w:val="nil"/>
              <w:left w:val="nil"/>
              <w:bottom w:val="single" w:sz="4" w:space="0" w:color="auto"/>
              <w:right w:val="single" w:sz="12" w:space="0" w:color="auto"/>
            </w:tcBorders>
            <w:noWrap/>
            <w:vAlign w:val="center"/>
            <w:hideMark/>
          </w:tcPr>
          <w:p w14:paraId="7F538851" w14:textId="77777777" w:rsidR="004B6EB3" w:rsidRPr="008C1B84" w:rsidRDefault="004B6EB3" w:rsidP="0082478E">
            <w:pPr>
              <w:spacing w:after="0" w:line="240" w:lineRule="auto"/>
              <w:contextualSpacing/>
              <w:jc w:val="center"/>
              <w:rPr>
                <w:rFonts w:cs="Times New Roman"/>
                <w:b/>
                <w:bCs/>
                <w:color w:val="000000"/>
              </w:rPr>
            </w:pPr>
            <w:r w:rsidRPr="008C1B84">
              <w:rPr>
                <w:rFonts w:cs="Times New Roman"/>
                <w:b/>
                <w:bCs/>
                <w:color w:val="000000"/>
              </w:rPr>
              <w:t>Q4</w:t>
            </w:r>
          </w:p>
        </w:tc>
        <w:tc>
          <w:tcPr>
            <w:tcW w:w="465" w:type="dxa"/>
            <w:tcBorders>
              <w:top w:val="nil"/>
              <w:left w:val="nil"/>
              <w:bottom w:val="single" w:sz="4" w:space="0" w:color="auto"/>
              <w:right w:val="single" w:sz="4" w:space="0" w:color="auto"/>
            </w:tcBorders>
            <w:noWrap/>
            <w:vAlign w:val="center"/>
            <w:hideMark/>
          </w:tcPr>
          <w:p w14:paraId="42A196CB" w14:textId="77777777" w:rsidR="004B6EB3" w:rsidRPr="008C1B84" w:rsidRDefault="004B6EB3" w:rsidP="0082478E">
            <w:pPr>
              <w:spacing w:after="0" w:line="240" w:lineRule="auto"/>
              <w:contextualSpacing/>
              <w:jc w:val="center"/>
              <w:rPr>
                <w:rFonts w:cs="Times New Roman"/>
                <w:b/>
                <w:bCs/>
                <w:color w:val="000000"/>
              </w:rPr>
            </w:pPr>
            <w:r w:rsidRPr="008C1B84">
              <w:rPr>
                <w:rFonts w:cs="Times New Roman"/>
                <w:b/>
                <w:bCs/>
                <w:color w:val="000000"/>
              </w:rPr>
              <w:t>Q1</w:t>
            </w:r>
          </w:p>
        </w:tc>
        <w:tc>
          <w:tcPr>
            <w:tcW w:w="465" w:type="dxa"/>
            <w:tcBorders>
              <w:top w:val="nil"/>
              <w:left w:val="nil"/>
              <w:bottom w:val="single" w:sz="4" w:space="0" w:color="auto"/>
              <w:right w:val="single" w:sz="4" w:space="0" w:color="auto"/>
            </w:tcBorders>
            <w:noWrap/>
            <w:vAlign w:val="center"/>
            <w:hideMark/>
          </w:tcPr>
          <w:p w14:paraId="4C22BDE4" w14:textId="77777777" w:rsidR="004B6EB3" w:rsidRPr="008C1B84" w:rsidRDefault="004B6EB3" w:rsidP="0082478E">
            <w:pPr>
              <w:spacing w:after="0" w:line="240" w:lineRule="auto"/>
              <w:contextualSpacing/>
              <w:jc w:val="center"/>
              <w:rPr>
                <w:rFonts w:cs="Times New Roman"/>
                <w:b/>
                <w:bCs/>
                <w:color w:val="000000"/>
              </w:rPr>
            </w:pPr>
            <w:r w:rsidRPr="008C1B84">
              <w:rPr>
                <w:rFonts w:cs="Times New Roman"/>
                <w:b/>
                <w:bCs/>
                <w:color w:val="000000"/>
              </w:rPr>
              <w:t>Q2</w:t>
            </w:r>
          </w:p>
        </w:tc>
        <w:tc>
          <w:tcPr>
            <w:tcW w:w="465" w:type="dxa"/>
            <w:tcBorders>
              <w:top w:val="nil"/>
              <w:left w:val="nil"/>
              <w:bottom w:val="single" w:sz="4" w:space="0" w:color="auto"/>
              <w:right w:val="single" w:sz="4" w:space="0" w:color="auto"/>
            </w:tcBorders>
            <w:noWrap/>
            <w:vAlign w:val="center"/>
            <w:hideMark/>
          </w:tcPr>
          <w:p w14:paraId="6BDBACFE" w14:textId="77777777" w:rsidR="004B6EB3" w:rsidRPr="008C1B84" w:rsidRDefault="004B6EB3" w:rsidP="0082478E">
            <w:pPr>
              <w:spacing w:after="0" w:line="240" w:lineRule="auto"/>
              <w:contextualSpacing/>
              <w:jc w:val="center"/>
              <w:rPr>
                <w:rFonts w:cs="Times New Roman"/>
                <w:b/>
                <w:bCs/>
                <w:color w:val="000000"/>
              </w:rPr>
            </w:pPr>
            <w:r w:rsidRPr="008C1B84">
              <w:rPr>
                <w:rFonts w:cs="Times New Roman"/>
                <w:b/>
                <w:bCs/>
                <w:color w:val="000000"/>
              </w:rPr>
              <w:t>Q3</w:t>
            </w:r>
          </w:p>
        </w:tc>
        <w:tc>
          <w:tcPr>
            <w:tcW w:w="465" w:type="dxa"/>
            <w:tcBorders>
              <w:top w:val="nil"/>
              <w:left w:val="nil"/>
              <w:bottom w:val="single" w:sz="4" w:space="0" w:color="auto"/>
              <w:right w:val="single" w:sz="12" w:space="0" w:color="auto"/>
            </w:tcBorders>
            <w:noWrap/>
            <w:vAlign w:val="center"/>
            <w:hideMark/>
          </w:tcPr>
          <w:p w14:paraId="65886BF4" w14:textId="77777777" w:rsidR="004B6EB3" w:rsidRPr="008C1B84" w:rsidRDefault="004B6EB3" w:rsidP="0082478E">
            <w:pPr>
              <w:spacing w:after="0" w:line="240" w:lineRule="auto"/>
              <w:contextualSpacing/>
              <w:jc w:val="center"/>
              <w:rPr>
                <w:rFonts w:cs="Times New Roman"/>
                <w:b/>
                <w:bCs/>
                <w:color w:val="000000"/>
              </w:rPr>
            </w:pPr>
            <w:r w:rsidRPr="008C1B84">
              <w:rPr>
                <w:rFonts w:cs="Times New Roman"/>
                <w:b/>
                <w:bCs/>
                <w:color w:val="000000"/>
              </w:rPr>
              <w:t>Q4</w:t>
            </w:r>
          </w:p>
        </w:tc>
      </w:tr>
      <w:tr w:rsidR="004B6EB3" w:rsidRPr="008C1B84" w14:paraId="52E66991" w14:textId="77777777" w:rsidTr="0082478E">
        <w:trPr>
          <w:trHeight w:val="292"/>
        </w:trPr>
        <w:tc>
          <w:tcPr>
            <w:tcW w:w="931" w:type="dxa"/>
            <w:tcBorders>
              <w:top w:val="single" w:sz="12" w:space="0" w:color="auto"/>
              <w:left w:val="single" w:sz="12" w:space="0" w:color="auto"/>
              <w:bottom w:val="single" w:sz="4" w:space="0" w:color="auto"/>
              <w:right w:val="single" w:sz="4" w:space="0" w:color="auto"/>
            </w:tcBorders>
            <w:noWrap/>
            <w:vAlign w:val="bottom"/>
            <w:hideMark/>
          </w:tcPr>
          <w:p w14:paraId="1B6A45FD" w14:textId="77777777" w:rsidR="004B6EB3" w:rsidRPr="008C1B84" w:rsidRDefault="004B6EB3" w:rsidP="0082478E">
            <w:pPr>
              <w:spacing w:after="0" w:line="240" w:lineRule="auto"/>
              <w:contextualSpacing/>
              <w:jc w:val="right"/>
              <w:rPr>
                <w:rFonts w:cs="Times New Roman"/>
                <w:b/>
                <w:bCs/>
                <w:color w:val="000000"/>
              </w:rPr>
            </w:pPr>
            <w:r w:rsidRPr="008C1B84">
              <w:rPr>
                <w:rFonts w:cs="Times New Roman"/>
                <w:b/>
                <w:bCs/>
                <w:color w:val="000000"/>
              </w:rPr>
              <w:t xml:space="preserve">Task 0 </w:t>
            </w:r>
          </w:p>
        </w:tc>
        <w:tc>
          <w:tcPr>
            <w:tcW w:w="3181" w:type="dxa"/>
            <w:tcBorders>
              <w:top w:val="single" w:sz="12" w:space="0" w:color="auto"/>
              <w:left w:val="nil"/>
              <w:bottom w:val="single" w:sz="4" w:space="0" w:color="auto"/>
              <w:right w:val="nil"/>
            </w:tcBorders>
            <w:noWrap/>
            <w:vAlign w:val="bottom"/>
            <w:hideMark/>
          </w:tcPr>
          <w:p w14:paraId="570BBBDF"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Management</w:t>
            </w:r>
            <w:r>
              <w:rPr>
                <w:rFonts w:cs="Times New Roman"/>
                <w:color w:val="000000"/>
              </w:rPr>
              <w:t xml:space="preserve"> &amp;</w:t>
            </w:r>
            <w:r w:rsidRPr="008C1B84">
              <w:rPr>
                <w:rFonts w:cs="Times New Roman"/>
                <w:color w:val="000000"/>
              </w:rPr>
              <w:t xml:space="preserve"> Reporting</w:t>
            </w:r>
          </w:p>
        </w:tc>
        <w:tc>
          <w:tcPr>
            <w:tcW w:w="243" w:type="dxa"/>
            <w:tcBorders>
              <w:top w:val="nil"/>
              <w:left w:val="single" w:sz="12" w:space="0" w:color="auto"/>
              <w:bottom w:val="single" w:sz="4" w:space="0" w:color="auto"/>
              <w:right w:val="single" w:sz="4" w:space="0" w:color="auto"/>
            </w:tcBorders>
            <w:shd w:val="clear" w:color="000000" w:fill="ED7D31"/>
            <w:noWrap/>
            <w:vAlign w:val="bottom"/>
            <w:hideMark/>
          </w:tcPr>
          <w:p w14:paraId="7833465B"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4" w:type="dxa"/>
            <w:tcBorders>
              <w:top w:val="nil"/>
              <w:left w:val="nil"/>
              <w:bottom w:val="single" w:sz="4" w:space="0" w:color="auto"/>
              <w:right w:val="single" w:sz="4" w:space="0" w:color="auto"/>
            </w:tcBorders>
            <w:shd w:val="clear" w:color="000000" w:fill="ED7D31"/>
            <w:noWrap/>
            <w:vAlign w:val="bottom"/>
            <w:hideMark/>
          </w:tcPr>
          <w:p w14:paraId="621F03EC"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4" w:type="dxa"/>
            <w:tcBorders>
              <w:top w:val="nil"/>
              <w:left w:val="nil"/>
              <w:bottom w:val="single" w:sz="4" w:space="0" w:color="auto"/>
              <w:right w:val="single" w:sz="4" w:space="0" w:color="auto"/>
            </w:tcBorders>
            <w:shd w:val="clear" w:color="000000" w:fill="ED7D31"/>
            <w:noWrap/>
            <w:vAlign w:val="bottom"/>
            <w:hideMark/>
          </w:tcPr>
          <w:p w14:paraId="5AE6601B"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12" w:space="0" w:color="auto"/>
            </w:tcBorders>
            <w:shd w:val="clear" w:color="000000" w:fill="ED7D31"/>
            <w:noWrap/>
            <w:vAlign w:val="bottom"/>
            <w:hideMark/>
          </w:tcPr>
          <w:p w14:paraId="5301D0D0"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shd w:val="clear" w:color="000000" w:fill="ED7D31"/>
            <w:noWrap/>
            <w:vAlign w:val="bottom"/>
            <w:hideMark/>
          </w:tcPr>
          <w:p w14:paraId="07B48FB6"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shd w:val="clear" w:color="000000" w:fill="ED7D31"/>
            <w:noWrap/>
            <w:vAlign w:val="bottom"/>
            <w:hideMark/>
          </w:tcPr>
          <w:p w14:paraId="34F9EBEB"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shd w:val="clear" w:color="000000" w:fill="ED7D31"/>
            <w:noWrap/>
            <w:vAlign w:val="bottom"/>
            <w:hideMark/>
          </w:tcPr>
          <w:p w14:paraId="72DC760D"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12" w:space="0" w:color="auto"/>
            </w:tcBorders>
            <w:shd w:val="clear" w:color="000000" w:fill="ED7D31"/>
            <w:noWrap/>
            <w:vAlign w:val="bottom"/>
            <w:hideMark/>
          </w:tcPr>
          <w:p w14:paraId="0EA9CF34"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shd w:val="clear" w:color="000000" w:fill="ED7D31"/>
            <w:noWrap/>
            <w:vAlign w:val="bottom"/>
            <w:hideMark/>
          </w:tcPr>
          <w:p w14:paraId="237EC8BF"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shd w:val="clear" w:color="000000" w:fill="ED7D31"/>
            <w:noWrap/>
            <w:vAlign w:val="bottom"/>
            <w:hideMark/>
          </w:tcPr>
          <w:p w14:paraId="51E80C78"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shd w:val="clear" w:color="000000" w:fill="ED7D31"/>
            <w:noWrap/>
            <w:vAlign w:val="bottom"/>
            <w:hideMark/>
          </w:tcPr>
          <w:p w14:paraId="4E334391"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12" w:space="0" w:color="auto"/>
            </w:tcBorders>
            <w:shd w:val="clear" w:color="000000" w:fill="ED7D31"/>
            <w:noWrap/>
            <w:vAlign w:val="bottom"/>
            <w:hideMark/>
          </w:tcPr>
          <w:p w14:paraId="1FB3E1B4"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r>
      <w:tr w:rsidR="004B6EB3" w:rsidRPr="008C1B84" w14:paraId="637F645D" w14:textId="77777777" w:rsidTr="0082478E">
        <w:trPr>
          <w:trHeight w:val="275"/>
        </w:trPr>
        <w:tc>
          <w:tcPr>
            <w:tcW w:w="931" w:type="dxa"/>
            <w:tcBorders>
              <w:top w:val="nil"/>
              <w:left w:val="single" w:sz="12" w:space="0" w:color="auto"/>
              <w:bottom w:val="single" w:sz="4" w:space="0" w:color="auto"/>
              <w:right w:val="single" w:sz="4" w:space="0" w:color="auto"/>
            </w:tcBorders>
            <w:noWrap/>
            <w:vAlign w:val="bottom"/>
            <w:hideMark/>
          </w:tcPr>
          <w:p w14:paraId="6C6CBBD6" w14:textId="77777777" w:rsidR="004B6EB3" w:rsidRPr="008C1B84" w:rsidRDefault="004B6EB3" w:rsidP="0082478E">
            <w:pPr>
              <w:spacing w:after="0" w:line="240" w:lineRule="auto"/>
              <w:contextualSpacing/>
              <w:jc w:val="right"/>
              <w:rPr>
                <w:rFonts w:cs="Times New Roman"/>
                <w:b/>
                <w:bCs/>
                <w:color w:val="000000"/>
              </w:rPr>
            </w:pPr>
            <w:r w:rsidRPr="008C1B84">
              <w:rPr>
                <w:rFonts w:cs="Times New Roman"/>
                <w:b/>
                <w:bCs/>
                <w:color w:val="000000"/>
              </w:rPr>
              <w:t xml:space="preserve">Task 1 </w:t>
            </w:r>
          </w:p>
        </w:tc>
        <w:tc>
          <w:tcPr>
            <w:tcW w:w="3181" w:type="dxa"/>
            <w:tcBorders>
              <w:top w:val="nil"/>
              <w:left w:val="nil"/>
              <w:bottom w:val="single" w:sz="4" w:space="0" w:color="auto"/>
              <w:right w:val="nil"/>
            </w:tcBorders>
            <w:noWrap/>
            <w:vAlign w:val="bottom"/>
            <w:hideMark/>
          </w:tcPr>
          <w:p w14:paraId="226EEA9E"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Leverage Existing DT</w:t>
            </w:r>
            <w:r>
              <w:rPr>
                <w:rFonts w:cs="Times New Roman"/>
                <w:color w:val="000000"/>
              </w:rPr>
              <w:t>s</w:t>
            </w:r>
            <w:r w:rsidRPr="008C1B84">
              <w:rPr>
                <w:rFonts w:cs="Times New Roman"/>
                <w:color w:val="000000"/>
              </w:rPr>
              <w:t xml:space="preserve"> </w:t>
            </w:r>
          </w:p>
        </w:tc>
        <w:tc>
          <w:tcPr>
            <w:tcW w:w="243" w:type="dxa"/>
            <w:tcBorders>
              <w:top w:val="nil"/>
              <w:left w:val="single" w:sz="12" w:space="0" w:color="auto"/>
              <w:bottom w:val="single" w:sz="4" w:space="0" w:color="auto"/>
              <w:right w:val="single" w:sz="4" w:space="0" w:color="auto"/>
            </w:tcBorders>
            <w:shd w:val="clear" w:color="000000" w:fill="0070C0"/>
            <w:noWrap/>
            <w:vAlign w:val="bottom"/>
            <w:hideMark/>
          </w:tcPr>
          <w:p w14:paraId="142B7C34"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4" w:type="dxa"/>
            <w:tcBorders>
              <w:top w:val="nil"/>
              <w:left w:val="nil"/>
              <w:bottom w:val="single" w:sz="4" w:space="0" w:color="auto"/>
              <w:right w:val="single" w:sz="4" w:space="0" w:color="auto"/>
            </w:tcBorders>
            <w:shd w:val="clear" w:color="000000" w:fill="0070C0"/>
            <w:noWrap/>
            <w:vAlign w:val="bottom"/>
            <w:hideMark/>
          </w:tcPr>
          <w:p w14:paraId="63489155"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4" w:type="dxa"/>
            <w:tcBorders>
              <w:top w:val="nil"/>
              <w:left w:val="nil"/>
              <w:bottom w:val="single" w:sz="4" w:space="0" w:color="auto"/>
              <w:right w:val="single" w:sz="4" w:space="0" w:color="auto"/>
            </w:tcBorders>
            <w:shd w:val="clear" w:color="000000" w:fill="0070C0"/>
            <w:noWrap/>
            <w:vAlign w:val="bottom"/>
            <w:hideMark/>
          </w:tcPr>
          <w:p w14:paraId="71FC5DCA"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12" w:space="0" w:color="auto"/>
            </w:tcBorders>
            <w:shd w:val="clear" w:color="000000" w:fill="0070C0"/>
            <w:noWrap/>
            <w:vAlign w:val="bottom"/>
            <w:hideMark/>
          </w:tcPr>
          <w:p w14:paraId="79A70E82"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shd w:val="clear" w:color="000000" w:fill="0070C0"/>
            <w:noWrap/>
            <w:vAlign w:val="bottom"/>
            <w:hideMark/>
          </w:tcPr>
          <w:p w14:paraId="18E4824C"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shd w:val="clear" w:color="000000" w:fill="0070C0"/>
            <w:noWrap/>
            <w:vAlign w:val="bottom"/>
            <w:hideMark/>
          </w:tcPr>
          <w:p w14:paraId="116754D6"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noWrap/>
            <w:vAlign w:val="bottom"/>
            <w:hideMark/>
          </w:tcPr>
          <w:p w14:paraId="442E4433"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12" w:space="0" w:color="auto"/>
            </w:tcBorders>
            <w:noWrap/>
            <w:vAlign w:val="bottom"/>
            <w:hideMark/>
          </w:tcPr>
          <w:p w14:paraId="3DFB23AE"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noWrap/>
            <w:vAlign w:val="bottom"/>
            <w:hideMark/>
          </w:tcPr>
          <w:p w14:paraId="6694AB2B"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noWrap/>
            <w:vAlign w:val="bottom"/>
            <w:hideMark/>
          </w:tcPr>
          <w:p w14:paraId="70776C1B"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noWrap/>
            <w:vAlign w:val="bottom"/>
            <w:hideMark/>
          </w:tcPr>
          <w:p w14:paraId="307B3FB2"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12" w:space="0" w:color="auto"/>
            </w:tcBorders>
            <w:noWrap/>
            <w:vAlign w:val="bottom"/>
            <w:hideMark/>
          </w:tcPr>
          <w:p w14:paraId="03475B1F"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r>
      <w:tr w:rsidR="004B6EB3" w:rsidRPr="008C1B84" w14:paraId="6DEEF66B" w14:textId="77777777" w:rsidTr="0082478E">
        <w:trPr>
          <w:trHeight w:val="275"/>
        </w:trPr>
        <w:tc>
          <w:tcPr>
            <w:tcW w:w="931" w:type="dxa"/>
            <w:tcBorders>
              <w:top w:val="nil"/>
              <w:left w:val="single" w:sz="12" w:space="0" w:color="auto"/>
              <w:bottom w:val="single" w:sz="4" w:space="0" w:color="auto"/>
              <w:right w:val="single" w:sz="4" w:space="0" w:color="auto"/>
            </w:tcBorders>
            <w:noWrap/>
            <w:vAlign w:val="bottom"/>
            <w:hideMark/>
          </w:tcPr>
          <w:p w14:paraId="293A3528" w14:textId="77777777" w:rsidR="004B6EB3" w:rsidRPr="008C1B84" w:rsidRDefault="004B6EB3" w:rsidP="0082478E">
            <w:pPr>
              <w:spacing w:after="0" w:line="240" w:lineRule="auto"/>
              <w:contextualSpacing/>
              <w:jc w:val="right"/>
              <w:rPr>
                <w:rFonts w:cs="Times New Roman"/>
                <w:b/>
                <w:bCs/>
                <w:color w:val="000000"/>
              </w:rPr>
            </w:pPr>
            <w:r w:rsidRPr="008C1B84">
              <w:rPr>
                <w:rFonts w:cs="Times New Roman"/>
                <w:b/>
                <w:bCs/>
                <w:color w:val="000000"/>
              </w:rPr>
              <w:t xml:space="preserve">Task 2 </w:t>
            </w:r>
          </w:p>
        </w:tc>
        <w:tc>
          <w:tcPr>
            <w:tcW w:w="3181" w:type="dxa"/>
            <w:tcBorders>
              <w:top w:val="nil"/>
              <w:left w:val="nil"/>
              <w:bottom w:val="single" w:sz="4" w:space="0" w:color="auto"/>
              <w:right w:val="nil"/>
            </w:tcBorders>
            <w:noWrap/>
            <w:vAlign w:val="bottom"/>
            <w:hideMark/>
          </w:tcPr>
          <w:p w14:paraId="39160331"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DT Certifier System</w:t>
            </w:r>
          </w:p>
        </w:tc>
        <w:tc>
          <w:tcPr>
            <w:tcW w:w="243" w:type="dxa"/>
            <w:tcBorders>
              <w:top w:val="nil"/>
              <w:left w:val="single" w:sz="12" w:space="0" w:color="auto"/>
              <w:bottom w:val="single" w:sz="4" w:space="0" w:color="auto"/>
              <w:right w:val="single" w:sz="4" w:space="0" w:color="auto"/>
            </w:tcBorders>
            <w:noWrap/>
            <w:vAlign w:val="bottom"/>
            <w:hideMark/>
          </w:tcPr>
          <w:p w14:paraId="1C854977"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4" w:type="dxa"/>
            <w:tcBorders>
              <w:top w:val="nil"/>
              <w:left w:val="nil"/>
              <w:bottom w:val="single" w:sz="4" w:space="0" w:color="auto"/>
              <w:right w:val="single" w:sz="4" w:space="0" w:color="auto"/>
            </w:tcBorders>
            <w:noWrap/>
            <w:vAlign w:val="bottom"/>
            <w:hideMark/>
          </w:tcPr>
          <w:p w14:paraId="40602BD4"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4" w:type="dxa"/>
            <w:tcBorders>
              <w:top w:val="nil"/>
              <w:left w:val="nil"/>
              <w:bottom w:val="single" w:sz="4" w:space="0" w:color="auto"/>
              <w:right w:val="single" w:sz="4" w:space="0" w:color="auto"/>
            </w:tcBorders>
            <w:shd w:val="clear" w:color="000000" w:fill="70AD47"/>
            <w:noWrap/>
            <w:vAlign w:val="bottom"/>
            <w:hideMark/>
          </w:tcPr>
          <w:p w14:paraId="447E3670"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12" w:space="0" w:color="auto"/>
            </w:tcBorders>
            <w:shd w:val="clear" w:color="000000" w:fill="70AD47"/>
            <w:noWrap/>
            <w:vAlign w:val="bottom"/>
            <w:hideMark/>
          </w:tcPr>
          <w:p w14:paraId="38FB3909"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shd w:val="clear" w:color="000000" w:fill="70AD47"/>
            <w:noWrap/>
            <w:vAlign w:val="bottom"/>
            <w:hideMark/>
          </w:tcPr>
          <w:p w14:paraId="18C7D9A6"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shd w:val="clear" w:color="000000" w:fill="70AD47"/>
            <w:noWrap/>
            <w:vAlign w:val="bottom"/>
            <w:hideMark/>
          </w:tcPr>
          <w:p w14:paraId="45F584CE"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shd w:val="clear" w:color="000000" w:fill="70AD47"/>
            <w:noWrap/>
            <w:vAlign w:val="bottom"/>
            <w:hideMark/>
          </w:tcPr>
          <w:p w14:paraId="76F4A1F5"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12" w:space="0" w:color="auto"/>
            </w:tcBorders>
            <w:shd w:val="clear" w:color="000000" w:fill="70AD47"/>
            <w:noWrap/>
            <w:vAlign w:val="bottom"/>
            <w:hideMark/>
          </w:tcPr>
          <w:p w14:paraId="21F62D04"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noWrap/>
            <w:vAlign w:val="bottom"/>
            <w:hideMark/>
          </w:tcPr>
          <w:p w14:paraId="7C29B36A"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noWrap/>
            <w:vAlign w:val="bottom"/>
            <w:hideMark/>
          </w:tcPr>
          <w:p w14:paraId="66D4D5DA"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noWrap/>
            <w:vAlign w:val="bottom"/>
            <w:hideMark/>
          </w:tcPr>
          <w:p w14:paraId="0E1CFF10"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12" w:space="0" w:color="auto"/>
            </w:tcBorders>
            <w:noWrap/>
            <w:vAlign w:val="bottom"/>
            <w:hideMark/>
          </w:tcPr>
          <w:p w14:paraId="0971CDC0"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r>
      <w:tr w:rsidR="004B6EB3" w:rsidRPr="008C1B84" w14:paraId="4C23281D" w14:textId="77777777" w:rsidTr="0082478E">
        <w:trPr>
          <w:trHeight w:val="275"/>
        </w:trPr>
        <w:tc>
          <w:tcPr>
            <w:tcW w:w="931" w:type="dxa"/>
            <w:tcBorders>
              <w:top w:val="nil"/>
              <w:left w:val="single" w:sz="12" w:space="0" w:color="auto"/>
              <w:bottom w:val="single" w:sz="4" w:space="0" w:color="auto"/>
              <w:right w:val="single" w:sz="4" w:space="0" w:color="auto"/>
            </w:tcBorders>
            <w:noWrap/>
            <w:vAlign w:val="bottom"/>
            <w:hideMark/>
          </w:tcPr>
          <w:p w14:paraId="03706581" w14:textId="77777777" w:rsidR="004B6EB3" w:rsidRPr="008C1B84" w:rsidRDefault="004B6EB3" w:rsidP="0082478E">
            <w:pPr>
              <w:spacing w:after="0" w:line="240" w:lineRule="auto"/>
              <w:contextualSpacing/>
              <w:jc w:val="right"/>
              <w:rPr>
                <w:rFonts w:cs="Times New Roman"/>
                <w:b/>
                <w:bCs/>
                <w:color w:val="000000"/>
              </w:rPr>
            </w:pPr>
            <w:r w:rsidRPr="008C1B84">
              <w:rPr>
                <w:rFonts w:cs="Times New Roman"/>
                <w:b/>
                <w:bCs/>
                <w:color w:val="000000"/>
              </w:rPr>
              <w:t xml:space="preserve">Task 3 </w:t>
            </w:r>
          </w:p>
        </w:tc>
        <w:tc>
          <w:tcPr>
            <w:tcW w:w="3181" w:type="dxa"/>
            <w:tcBorders>
              <w:top w:val="nil"/>
              <w:left w:val="nil"/>
              <w:bottom w:val="single" w:sz="4" w:space="0" w:color="auto"/>
              <w:right w:val="nil"/>
            </w:tcBorders>
            <w:noWrap/>
            <w:vAlign w:val="bottom"/>
            <w:hideMark/>
          </w:tcPr>
          <w:p w14:paraId="09F2B84B"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DTCS Demonstration</w:t>
            </w:r>
          </w:p>
        </w:tc>
        <w:tc>
          <w:tcPr>
            <w:tcW w:w="243" w:type="dxa"/>
            <w:tcBorders>
              <w:top w:val="nil"/>
              <w:left w:val="single" w:sz="12" w:space="0" w:color="auto"/>
              <w:bottom w:val="single" w:sz="4" w:space="0" w:color="auto"/>
              <w:right w:val="single" w:sz="4" w:space="0" w:color="auto"/>
            </w:tcBorders>
            <w:noWrap/>
            <w:vAlign w:val="bottom"/>
            <w:hideMark/>
          </w:tcPr>
          <w:p w14:paraId="3F94D217"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4" w:type="dxa"/>
            <w:tcBorders>
              <w:top w:val="nil"/>
              <w:left w:val="nil"/>
              <w:bottom w:val="single" w:sz="4" w:space="0" w:color="auto"/>
              <w:right w:val="single" w:sz="4" w:space="0" w:color="auto"/>
            </w:tcBorders>
            <w:noWrap/>
            <w:vAlign w:val="bottom"/>
            <w:hideMark/>
          </w:tcPr>
          <w:p w14:paraId="4B4C82B6"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4" w:type="dxa"/>
            <w:tcBorders>
              <w:top w:val="nil"/>
              <w:left w:val="nil"/>
              <w:bottom w:val="single" w:sz="4" w:space="0" w:color="auto"/>
              <w:right w:val="single" w:sz="4" w:space="0" w:color="auto"/>
            </w:tcBorders>
            <w:noWrap/>
            <w:vAlign w:val="bottom"/>
            <w:hideMark/>
          </w:tcPr>
          <w:p w14:paraId="513F6F76"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12" w:space="0" w:color="auto"/>
            </w:tcBorders>
            <w:noWrap/>
            <w:vAlign w:val="bottom"/>
            <w:hideMark/>
          </w:tcPr>
          <w:p w14:paraId="09A3D890"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noWrap/>
            <w:vAlign w:val="bottom"/>
            <w:hideMark/>
          </w:tcPr>
          <w:p w14:paraId="6DB7C5DB"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noWrap/>
            <w:vAlign w:val="bottom"/>
            <w:hideMark/>
          </w:tcPr>
          <w:p w14:paraId="3E2E4F94"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shd w:val="clear" w:color="000000" w:fill="FF0000"/>
            <w:noWrap/>
            <w:vAlign w:val="bottom"/>
            <w:hideMark/>
          </w:tcPr>
          <w:p w14:paraId="11AFC5B2"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12" w:space="0" w:color="auto"/>
            </w:tcBorders>
            <w:shd w:val="clear" w:color="000000" w:fill="FF0000"/>
            <w:noWrap/>
            <w:vAlign w:val="bottom"/>
            <w:hideMark/>
          </w:tcPr>
          <w:p w14:paraId="1F400AD8"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shd w:val="clear" w:color="000000" w:fill="FF0000"/>
            <w:noWrap/>
            <w:vAlign w:val="bottom"/>
            <w:hideMark/>
          </w:tcPr>
          <w:p w14:paraId="76ECB763"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shd w:val="clear" w:color="000000" w:fill="FF0000"/>
            <w:noWrap/>
            <w:vAlign w:val="bottom"/>
            <w:hideMark/>
          </w:tcPr>
          <w:p w14:paraId="724456A2"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4" w:space="0" w:color="auto"/>
            </w:tcBorders>
            <w:noWrap/>
            <w:vAlign w:val="bottom"/>
            <w:hideMark/>
          </w:tcPr>
          <w:p w14:paraId="42BC86DA"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4" w:space="0" w:color="auto"/>
              <w:right w:val="single" w:sz="12" w:space="0" w:color="auto"/>
            </w:tcBorders>
            <w:noWrap/>
            <w:vAlign w:val="bottom"/>
            <w:hideMark/>
          </w:tcPr>
          <w:p w14:paraId="558E38BA"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r>
      <w:tr w:rsidR="004B6EB3" w:rsidRPr="008C1B84" w14:paraId="303C769F" w14:textId="77777777" w:rsidTr="0082478E">
        <w:trPr>
          <w:trHeight w:val="292"/>
        </w:trPr>
        <w:tc>
          <w:tcPr>
            <w:tcW w:w="931" w:type="dxa"/>
            <w:tcBorders>
              <w:top w:val="nil"/>
              <w:left w:val="single" w:sz="12" w:space="0" w:color="auto"/>
              <w:bottom w:val="single" w:sz="12" w:space="0" w:color="auto"/>
              <w:right w:val="single" w:sz="4" w:space="0" w:color="auto"/>
            </w:tcBorders>
            <w:noWrap/>
            <w:vAlign w:val="bottom"/>
            <w:hideMark/>
          </w:tcPr>
          <w:p w14:paraId="7BC6B3A1" w14:textId="77777777" w:rsidR="004B6EB3" w:rsidRPr="008C1B84" w:rsidRDefault="004B6EB3" w:rsidP="0082478E">
            <w:pPr>
              <w:spacing w:after="0" w:line="240" w:lineRule="auto"/>
              <w:contextualSpacing/>
              <w:jc w:val="right"/>
              <w:rPr>
                <w:rFonts w:cs="Times New Roman"/>
                <w:b/>
                <w:bCs/>
                <w:color w:val="000000"/>
              </w:rPr>
            </w:pPr>
            <w:r w:rsidRPr="008C1B84">
              <w:rPr>
                <w:rFonts w:cs="Times New Roman"/>
                <w:b/>
                <w:bCs/>
                <w:color w:val="000000"/>
              </w:rPr>
              <w:t xml:space="preserve">Task 4 </w:t>
            </w:r>
          </w:p>
        </w:tc>
        <w:tc>
          <w:tcPr>
            <w:tcW w:w="3181" w:type="dxa"/>
            <w:tcBorders>
              <w:top w:val="nil"/>
              <w:left w:val="nil"/>
              <w:bottom w:val="single" w:sz="12" w:space="0" w:color="auto"/>
              <w:right w:val="nil"/>
            </w:tcBorders>
            <w:noWrap/>
            <w:vAlign w:val="bottom"/>
            <w:hideMark/>
          </w:tcPr>
          <w:p w14:paraId="10E61230"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Performance Benchmarking</w:t>
            </w:r>
          </w:p>
        </w:tc>
        <w:tc>
          <w:tcPr>
            <w:tcW w:w="243" w:type="dxa"/>
            <w:tcBorders>
              <w:top w:val="nil"/>
              <w:left w:val="single" w:sz="12" w:space="0" w:color="auto"/>
              <w:bottom w:val="single" w:sz="12" w:space="0" w:color="auto"/>
              <w:right w:val="single" w:sz="4" w:space="0" w:color="auto"/>
            </w:tcBorders>
            <w:noWrap/>
            <w:vAlign w:val="bottom"/>
            <w:hideMark/>
          </w:tcPr>
          <w:p w14:paraId="65548816"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4" w:type="dxa"/>
            <w:tcBorders>
              <w:top w:val="nil"/>
              <w:left w:val="nil"/>
              <w:bottom w:val="single" w:sz="12" w:space="0" w:color="auto"/>
              <w:right w:val="single" w:sz="4" w:space="0" w:color="auto"/>
            </w:tcBorders>
            <w:noWrap/>
            <w:vAlign w:val="bottom"/>
            <w:hideMark/>
          </w:tcPr>
          <w:p w14:paraId="76F5AD39"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4" w:type="dxa"/>
            <w:tcBorders>
              <w:top w:val="nil"/>
              <w:left w:val="nil"/>
              <w:bottom w:val="single" w:sz="12" w:space="0" w:color="auto"/>
              <w:right w:val="single" w:sz="4" w:space="0" w:color="auto"/>
            </w:tcBorders>
            <w:noWrap/>
            <w:vAlign w:val="bottom"/>
            <w:hideMark/>
          </w:tcPr>
          <w:p w14:paraId="4A035FDD"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12" w:space="0" w:color="auto"/>
              <w:right w:val="single" w:sz="12" w:space="0" w:color="auto"/>
            </w:tcBorders>
            <w:noWrap/>
            <w:vAlign w:val="bottom"/>
            <w:hideMark/>
          </w:tcPr>
          <w:p w14:paraId="7E817A5F"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12" w:space="0" w:color="auto"/>
              <w:right w:val="single" w:sz="4" w:space="0" w:color="auto"/>
            </w:tcBorders>
            <w:noWrap/>
            <w:vAlign w:val="bottom"/>
            <w:hideMark/>
          </w:tcPr>
          <w:p w14:paraId="48408D97"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12" w:space="0" w:color="auto"/>
              <w:right w:val="single" w:sz="4" w:space="0" w:color="auto"/>
            </w:tcBorders>
            <w:noWrap/>
            <w:vAlign w:val="bottom"/>
            <w:hideMark/>
          </w:tcPr>
          <w:p w14:paraId="6F84B617"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12" w:space="0" w:color="auto"/>
              <w:right w:val="single" w:sz="4" w:space="0" w:color="auto"/>
            </w:tcBorders>
            <w:noWrap/>
            <w:vAlign w:val="bottom"/>
            <w:hideMark/>
          </w:tcPr>
          <w:p w14:paraId="514A8132"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12" w:space="0" w:color="auto"/>
              <w:right w:val="single" w:sz="12" w:space="0" w:color="auto"/>
            </w:tcBorders>
            <w:noWrap/>
            <w:vAlign w:val="bottom"/>
            <w:hideMark/>
          </w:tcPr>
          <w:p w14:paraId="324B4A22"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12" w:space="0" w:color="auto"/>
              <w:right w:val="single" w:sz="4" w:space="0" w:color="auto"/>
            </w:tcBorders>
            <w:shd w:val="clear" w:color="000000" w:fill="00B0F0"/>
            <w:noWrap/>
            <w:vAlign w:val="bottom"/>
            <w:hideMark/>
          </w:tcPr>
          <w:p w14:paraId="0D67D492"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12" w:space="0" w:color="auto"/>
              <w:right w:val="single" w:sz="4" w:space="0" w:color="auto"/>
            </w:tcBorders>
            <w:shd w:val="clear" w:color="000000" w:fill="00B0F0"/>
            <w:noWrap/>
            <w:vAlign w:val="bottom"/>
            <w:hideMark/>
          </w:tcPr>
          <w:p w14:paraId="63528CD3"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12" w:space="0" w:color="auto"/>
              <w:right w:val="single" w:sz="4" w:space="0" w:color="auto"/>
            </w:tcBorders>
            <w:shd w:val="clear" w:color="000000" w:fill="00B0F0"/>
            <w:noWrap/>
            <w:vAlign w:val="bottom"/>
            <w:hideMark/>
          </w:tcPr>
          <w:p w14:paraId="70F165CC"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c>
          <w:tcPr>
            <w:tcW w:w="465" w:type="dxa"/>
            <w:tcBorders>
              <w:top w:val="nil"/>
              <w:left w:val="nil"/>
              <w:bottom w:val="single" w:sz="12" w:space="0" w:color="auto"/>
              <w:right w:val="single" w:sz="12" w:space="0" w:color="auto"/>
            </w:tcBorders>
            <w:shd w:val="clear" w:color="000000" w:fill="00B0F0"/>
            <w:noWrap/>
            <w:vAlign w:val="bottom"/>
            <w:hideMark/>
          </w:tcPr>
          <w:p w14:paraId="77DB3991" w14:textId="77777777" w:rsidR="004B6EB3" w:rsidRPr="008C1B84" w:rsidRDefault="004B6EB3" w:rsidP="0082478E">
            <w:pPr>
              <w:spacing w:after="0" w:line="240" w:lineRule="auto"/>
              <w:contextualSpacing/>
              <w:rPr>
                <w:rFonts w:cs="Times New Roman"/>
                <w:color w:val="000000"/>
              </w:rPr>
            </w:pPr>
            <w:r w:rsidRPr="008C1B84">
              <w:rPr>
                <w:rFonts w:cs="Times New Roman"/>
                <w:color w:val="000000"/>
              </w:rPr>
              <w:t> </w:t>
            </w:r>
          </w:p>
        </w:tc>
      </w:tr>
    </w:tbl>
    <w:p w14:paraId="1D1C7E6C" w14:textId="77777777" w:rsidR="004B6EB3" w:rsidRDefault="004B6EB3" w:rsidP="00365850">
      <w:pPr>
        <w:spacing w:line="240" w:lineRule="auto"/>
        <w:contextualSpacing/>
        <w:jc w:val="both"/>
        <w:rPr>
          <w:rFonts w:cs="Times New Roman"/>
        </w:rPr>
      </w:pPr>
    </w:p>
    <w:p w14:paraId="14F45B48" w14:textId="32E39A17" w:rsidR="00344508" w:rsidRPr="00344508" w:rsidRDefault="00797B42" w:rsidP="00365850">
      <w:pPr>
        <w:spacing w:line="240" w:lineRule="auto"/>
        <w:contextualSpacing/>
        <w:jc w:val="both"/>
        <w:rPr>
          <w:rFonts w:cs="Times New Roman"/>
        </w:rPr>
      </w:pPr>
      <w:r w:rsidRPr="00344508">
        <w:rPr>
          <w:rFonts w:cs="Times New Roman"/>
        </w:rPr>
        <w:t>aluminum control rod will be integrated to be commanded remotely.</w:t>
      </w:r>
      <w:r w:rsidR="00CC12A8">
        <w:rPr>
          <w:rFonts w:cs="Times New Roman"/>
        </w:rPr>
        <w:t xml:space="preserve"> </w:t>
      </w:r>
      <w:r w:rsidRPr="00344508">
        <w:rPr>
          <w:rFonts w:cs="Times New Roman"/>
        </w:rPr>
        <w:t>To simulate what a level</w:t>
      </w:r>
      <w:r w:rsidR="00CC12A8">
        <w:rPr>
          <w:rFonts w:cs="Times New Roman"/>
        </w:rPr>
        <w:noBreakHyphen/>
      </w:r>
      <w:r w:rsidRPr="00344508">
        <w:rPr>
          <w:rFonts w:cs="Times New Roman"/>
        </w:rPr>
        <w:t>4</w:t>
      </w:r>
      <w:r w:rsidR="00535097">
        <w:rPr>
          <w:rFonts w:cs="Times New Roman"/>
        </w:rPr>
        <w:t xml:space="preserve"> </w:t>
      </w:r>
      <w:r w:rsidRPr="00344508">
        <w:rPr>
          <w:rFonts w:cs="Times New Roman"/>
        </w:rPr>
        <w:t xml:space="preserve">autonomous reactor looks like </w:t>
      </w:r>
      <w:r w:rsidRPr="00344508">
        <w:rPr>
          <w:rFonts w:cs="Times New Roman"/>
        </w:rPr>
        <w:fldChar w:fldCharType="begin"/>
      </w:r>
      <w:r w:rsidRPr="00344508">
        <w:rPr>
          <w:rFonts w:cs="Times New Roman"/>
        </w:rPr>
        <w:instrText xml:space="preserve"> ADDIN ZOTERO_ITEM CSL_CITATION {"citationID":"6jVjidVT","properties":{"formattedCitation":"[19]","plainCitation":"[19]","noteIndex":0},"citationItems":[{"id":86,"uris":["http://zotero.org/groups/5759933/items/LC2MB8Q7"],"itemData":{"id":86,"type":"article-journal","abstract":"Operators of nuclear facilities and reactor designers are looking at autonomous controls to lower costs of operation and maintenance, particularly for advanced reactors, including Small Modular Reactors (SMR). Autonomous control implies the capability to make decisions and take independent action under uncertainty for extended periods of time with limited or nonexistent communication while being able to compensate for and learn from failures. The paper characterizes autonomous systems using a framework with two dimensions: the levels of autonomy and the objectives of tasks within an autonomous system. Because the technology supporting autonomy can differ for each level and task, the framework is useful for the consideration of cybersecurity concerns, or any issues, associated with autonomous systems. The framework can provide the regulatory body with a basis for requesting information about autonomous systems from licensees to better assess expected behaviors and cybersecurity concerns associated with the systems. Autonomous systems will incorporate various enabling technologies to gather data, perform situation analysis, diagnose, plan, decide and act. The enabling technologies used by autonomous systems also have their own set of cybersecurity risks and must be understood within the scope of the autonomous system. The paper will discuss cyberphysical risks and supply chain risks associated with autonomous systems that should be considered during cybersecurity licensing activities that can be evaluated within the framework.","container-title":"NRC","language":"en","source":"Zotero","title":"CYBERSECURITY CONSIDERATIONS OF AUTONOMY IN NUCLEAR FACILITIES (CYBERSECURITY LICENSING ACTIVITIES)","author":[{"family":"Kim","given":"Dr Anya"},{"family":"Lawson-Jenkins","given":"Kim"},{"family":"Eskins","given":"Dr Doug"},{"family":"Garcia","given":"Ismael"},{"family":"Rivera","given":"Tammie"}]}}],"schema":"https://github.com/citation-style-language/schema/raw/master/csl-citation.json"} </w:instrText>
      </w:r>
      <w:r w:rsidRPr="00344508">
        <w:rPr>
          <w:rFonts w:cs="Times New Roman"/>
        </w:rPr>
        <w:fldChar w:fldCharType="separate"/>
      </w:r>
      <w:r w:rsidRPr="00344508">
        <w:rPr>
          <w:rFonts w:cs="Times New Roman"/>
        </w:rPr>
        <w:t>[1</w:t>
      </w:r>
      <w:r w:rsidR="001C4D6E">
        <w:rPr>
          <w:rFonts w:cs="Times New Roman"/>
        </w:rPr>
        <w:t>8</w:t>
      </w:r>
      <w:r w:rsidRPr="00344508">
        <w:rPr>
          <w:rFonts w:cs="Times New Roman"/>
        </w:rPr>
        <w:t>]</w:t>
      </w:r>
      <w:r w:rsidRPr="00344508">
        <w:rPr>
          <w:rFonts w:cs="Times New Roman"/>
        </w:rPr>
        <w:fldChar w:fldCharType="end"/>
      </w:r>
      <w:r w:rsidRPr="00344508">
        <w:rPr>
          <w:rFonts w:cs="Times New Roman"/>
        </w:rPr>
        <w:t xml:space="preserve">, the low-worth control rod will run mostly autonomously to smooth the power of the reactor using a relatively simple PID control scheme. Commands sent to the </w:t>
      </w:r>
      <w:r w:rsidR="00CC12A8">
        <w:rPr>
          <w:rFonts w:cs="Times New Roman"/>
        </w:rPr>
        <w:t>controls system</w:t>
      </w:r>
      <w:r w:rsidRPr="00344508">
        <w:rPr>
          <w:rFonts w:cs="Times New Roman"/>
        </w:rPr>
        <w:t xml:space="preserve"> will </w:t>
      </w:r>
      <w:r w:rsidR="00CC12A8">
        <w:rPr>
          <w:rFonts w:cs="Times New Roman"/>
        </w:rPr>
        <w:t>command</w:t>
      </w:r>
      <w:r w:rsidRPr="00344508">
        <w:rPr>
          <w:rFonts w:cs="Times New Roman"/>
        </w:rPr>
        <w:t xml:space="preserve"> the rod to change its control scheme variables, such as set point or gain, to shape the reactor power differently. This emulates a remote operator requesting a</w:t>
      </w:r>
      <w:r w:rsidR="00CC12A8">
        <w:rPr>
          <w:rFonts w:cs="Times New Roman"/>
        </w:rPr>
        <w:t xml:space="preserve"> microreactor </w:t>
      </w:r>
      <w:r w:rsidRPr="00344508">
        <w:rPr>
          <w:rFonts w:cs="Times New Roman"/>
        </w:rPr>
        <w:t>to change its</w:t>
      </w:r>
      <w:r w:rsidR="00CC12A8">
        <w:rPr>
          <w:rFonts w:cs="Times New Roman"/>
        </w:rPr>
        <w:t xml:space="preserve"> operational mode, for example, </w:t>
      </w:r>
      <w:r w:rsidRPr="00344508">
        <w:rPr>
          <w:rFonts w:cs="Times New Roman"/>
        </w:rPr>
        <w:t xml:space="preserve">from steady </w:t>
      </w:r>
      <w:r w:rsidR="00CC12A8">
        <w:rPr>
          <w:rFonts w:cs="Times New Roman"/>
        </w:rPr>
        <w:t>power production</w:t>
      </w:r>
      <w:r w:rsidRPr="00344508">
        <w:rPr>
          <w:rFonts w:cs="Times New Roman"/>
        </w:rPr>
        <w:t xml:space="preserve"> to load following. </w:t>
      </w:r>
      <w:r w:rsidR="00344508" w:rsidRPr="00344508">
        <w:rPr>
          <w:rFonts w:cs="Times New Roman"/>
        </w:rPr>
        <w:t>DTCS and alternative DT-based verification methods will be applied before any control commands are executed. For comparison, single, locally hosted DT systems will also be tested against DTCS.</w:t>
      </w:r>
    </w:p>
    <w:p w14:paraId="7AD20A9B" w14:textId="77777777" w:rsidR="00535097" w:rsidRDefault="00535097" w:rsidP="00365850">
      <w:pPr>
        <w:spacing w:line="240" w:lineRule="auto"/>
        <w:contextualSpacing/>
        <w:jc w:val="both"/>
        <w:rPr>
          <w:rFonts w:cs="Times New Roman"/>
          <w:b/>
          <w:bCs/>
        </w:rPr>
      </w:pPr>
    </w:p>
    <w:p w14:paraId="3915DB6E" w14:textId="28A270E7" w:rsidR="00344508" w:rsidRPr="00344508" w:rsidRDefault="0060492D" w:rsidP="00365850">
      <w:pPr>
        <w:spacing w:line="240" w:lineRule="auto"/>
        <w:contextualSpacing/>
        <w:jc w:val="both"/>
        <w:rPr>
          <w:rFonts w:cs="Times New Roman"/>
        </w:rPr>
      </w:pPr>
      <w:r w:rsidRPr="0060492D">
        <w:rPr>
          <w:rFonts w:cs="Times New Roman"/>
          <w:b/>
          <w:bCs/>
        </w:rPr>
        <w:t>Task 4</w:t>
      </w:r>
      <w:r w:rsidR="00344508" w:rsidRPr="00344508">
        <w:rPr>
          <w:rFonts w:cs="Times New Roman"/>
        </w:rPr>
        <w:t xml:space="preserve"> will benchmark system performance in terms of latency, accuracy, computational resource requirements, and false positives. Explicit tests will be conducted against a variety of threat scenarios, including man-in-the-middle (MitM) attacks, compromised DTs on either end of the link, malicious operator commands, and failed or unreliable sensors. The goal is to demonstrate that DT-enabled architectures can detect these threats and automatically bring the reactor to a safe state.</w:t>
      </w:r>
    </w:p>
    <w:p w14:paraId="7A513713" w14:textId="654CEDA5" w:rsidR="00954608" w:rsidRDefault="00000000" w:rsidP="00535097">
      <w:pPr>
        <w:pStyle w:val="Heading1"/>
        <w:spacing w:before="220" w:line="240" w:lineRule="auto"/>
        <w:contextualSpacing/>
        <w:rPr>
          <w:rFonts w:ascii="Times New Roman" w:hAnsi="Times New Roman"/>
          <w:color w:val="auto"/>
          <w:sz w:val="24"/>
        </w:rPr>
      </w:pPr>
      <w:r w:rsidRPr="00BB79FC">
        <w:rPr>
          <w:rFonts w:ascii="Times New Roman" w:hAnsi="Times New Roman"/>
          <w:color w:val="auto"/>
          <w:sz w:val="24"/>
        </w:rPr>
        <w:t>4. Scope of Work</w:t>
      </w:r>
    </w:p>
    <w:p w14:paraId="522B9198" w14:textId="1AB44435" w:rsidR="0060492D" w:rsidRDefault="0060492D" w:rsidP="00365850">
      <w:pPr>
        <w:spacing w:line="240" w:lineRule="auto"/>
        <w:contextualSpacing/>
        <w:jc w:val="both"/>
        <w:rPr>
          <w:rFonts w:cs="Times New Roman"/>
        </w:rPr>
      </w:pPr>
      <w:r w:rsidRPr="00344508">
        <w:rPr>
          <w:rFonts w:cs="Times New Roman"/>
        </w:rPr>
        <w:t xml:space="preserve">Throughout </w:t>
      </w:r>
      <w:r w:rsidR="006C2BBF">
        <w:rPr>
          <w:rFonts w:cs="Times New Roman"/>
        </w:rPr>
        <w:t>all tasks</w:t>
      </w:r>
      <w:r w:rsidRPr="00344508">
        <w:rPr>
          <w:rFonts w:cs="Times New Roman"/>
        </w:rPr>
        <w:t xml:space="preserve">, the project will map the implemented controls against NIST SP 800-53/800-82 High, NRC RG 5.71, NEI 08-09, and IEC 62645/62859/63096 </w:t>
      </w:r>
      <w:r w:rsidRPr="00344508">
        <w:rPr>
          <w:rFonts w:cs="Times New Roman"/>
        </w:rPr>
        <w:fldChar w:fldCharType="begin"/>
      </w:r>
      <w:r w:rsidRPr="00344508">
        <w:rPr>
          <w:rFonts w:cs="Times New Roman"/>
        </w:rPr>
        <w:instrText xml:space="preserve"> ADDIN ZOTERO_ITEM CSL_CITATION {"citationID":"hgUVREIS","properties":{"formattedCitation":"[11], [12], [13], [14]","plainCitation":"[11], [12], [13], [14]","noteIndex":0},"citationItems":[{"id":91,"uris":["http://zotero.org/groups/5759933/items/LLYDJ6UF"],"itemData":{"id":91,"type":"standard","authority":"U.S. NUCLEAR REGULATORY COMMISSION","number":"ML21165A112","publisher":"NRC","status":"Pre-Decisional","title":"DRAFT REGULATORY GUIDE DG-5075","author":[{"family":"Garcia","given":"Ismael"},{"family":"Rivera","given":"Tammie"}]}},{"id":88,"uris":["http://zotero.org/groups/5759933/items/46Q6PLA7"],"itemData":{"id":88,"type":"document","publisher":"NRC","title":"10 CFR 73.54 Protection of digital computer and communication systems and networks","author":[{"literal":"NRC"}]}},{"id":110,"uris":["http://zotero.org/groups/5759933/items/33N7P6LH"],"itemData":{"id":110,"type":"article-journal","abstract":"Perspectives regarding evolution of these standards and development of new ones are provided in the conclusion. These standards define a common international framework, consistent with the IAEA NSS series principles, and within which the evolving country specific requirements can be developed and applied, depending on their own contexts and installations (including SMRs).","language":"en","source":"Zotero","title":"The IEC Standard Series On Cybersecurity for I&amp;C And Electrical Systems in Nuclear Power Plants","author":[{"family":"Smith","given":"Tighe"},{"family":"Quinn","given":"Edward L"},{"family":"Pietre-Cambacedes","given":"Ludovic"},{"family":"Walter","given":"Thomas"},{"family":"Bochtler","given":"Juergen"},{"family":"Rowland","given":"Michael T"}]}},{"id":156,"uris":["http://zotero.org/groups/5759933/items/TZ2AXK7M"],"itemData":{"id":156,"type":"report","abstract":"This document provides guidance on how to secure operational technology (OT) while addressing their unique performance, reliability, and safety requirements. OT encompasses a broad range of programmable systems and devices that interact with the physical environment (or manage devices that interact with the physical environment). These systems and devices detect or cause a direct change through the monitoring and/or control of devices, processes, and events. Examples include industrial control systems, building automation systems, transportation systems, physical access control systems, physical environment monitoring systems, and physical environment measurement systems. The document provides an overview of OT and typical system topologies, identifies common threats and vulnerabilities to these systems, and provides recommended security countermeasures to mitigate the associated risks.","event-place":"Gaithersburg, MD","language":"en","note":"DOI: 10.6028/NIST.SP.800-82r3","number":"NIST SP 800-82r3","page":"NIST SP 800-82r3","publisher":"National Institute of Standards and Technology (U.S.)","publisher-place":"Gaithersburg, MD","source":"DOI.org (Crossref)","title":"Guide to Operational Technology (OT) security","URL":"https://nvlpubs.nist.gov/nistpubs/SpecialPublications/NIST.SP.800-82r3.pdf","author":[{"family":"Stouffer","given":"Keith"},{"family":"Pease","given":"Michael"},{"family":"Tang","given":"CheeYee"},{"family":"Zimmerman","given":"Timothy"},{"family":"Pillitteri","given":"Victoria"},{"family":"Lightman","given":"Suzanne"},{"family":"Hahn","given":"Adam"},{"family":"Saravia","given":"Stephanie"},{"family":"Sherule","given":"Aslam"},{"family":"Thompson","given":"Michael"}],"accessed":{"date-parts":[["2024",11,17]]},"issued":{"date-parts":[["2023",9,28]]}}}],"schema":"https://github.com/citation-style-language/schema/raw/master/csl-citation.json"} </w:instrText>
      </w:r>
      <w:r w:rsidRPr="00344508">
        <w:rPr>
          <w:rFonts w:cs="Times New Roman"/>
        </w:rPr>
        <w:fldChar w:fldCharType="separate"/>
      </w:r>
      <w:r w:rsidRPr="00344508">
        <w:rPr>
          <w:rFonts w:cs="Times New Roman"/>
        </w:rPr>
        <w:t>[11], [12], [13], [14]</w:t>
      </w:r>
      <w:r w:rsidRPr="00344508">
        <w:rPr>
          <w:rFonts w:cs="Times New Roman"/>
        </w:rPr>
        <w:fldChar w:fldCharType="end"/>
      </w:r>
      <w:r w:rsidRPr="00344508">
        <w:rPr>
          <w:rFonts w:cs="Times New Roman"/>
        </w:rPr>
        <w:t xml:space="preserve">. The analysis will identify which required controls are inherently satisfied by DTCS and other DT-based verification methods and highlight the remaining controls that must be implemented outside of a DTCS or other DT verification system. </w:t>
      </w:r>
      <w:r>
        <w:rPr>
          <w:rFonts w:cs="Times New Roman"/>
        </w:rPr>
        <w:t xml:space="preserve"> </w:t>
      </w:r>
      <w:r w:rsidRPr="00344508">
        <w:rPr>
          <w:rFonts w:cs="Times New Roman"/>
        </w:rPr>
        <w:t>This kind of analysis is critical to highlighting the importance of these systems but is difficult to perform because the NRC, which acts as the primary body for these regulations, is currently in the process of determining exactly what will be required of remotely operated reactors.</w:t>
      </w:r>
    </w:p>
    <w:p w14:paraId="4EEF16CD" w14:textId="77777777" w:rsidR="00535097" w:rsidRDefault="00535097" w:rsidP="00365850">
      <w:pPr>
        <w:spacing w:line="240" w:lineRule="auto"/>
        <w:contextualSpacing/>
        <w:jc w:val="both"/>
        <w:rPr>
          <w:rFonts w:cs="Times New Roman"/>
        </w:rPr>
      </w:pPr>
    </w:p>
    <w:p w14:paraId="3D3D28C6" w14:textId="4924900C" w:rsidR="00CC0696" w:rsidRDefault="00CC0696" w:rsidP="00365850">
      <w:pPr>
        <w:spacing w:line="240" w:lineRule="auto"/>
        <w:contextualSpacing/>
        <w:jc w:val="both"/>
        <w:rPr>
          <w:rFonts w:cs="Times New Roman"/>
        </w:rPr>
      </w:pPr>
      <w:r w:rsidRPr="00CC0696">
        <w:rPr>
          <w:rFonts w:cs="Times New Roman"/>
        </w:rPr>
        <w:t xml:space="preserve">Table </w:t>
      </w:r>
      <w:r w:rsidRPr="00CC0696">
        <w:fldChar w:fldCharType="begin"/>
      </w:r>
      <w:r w:rsidRPr="00CC0696">
        <w:instrText xml:space="preserve"> SEQ Table \* ARABIC </w:instrText>
      </w:r>
      <w:r w:rsidRPr="00CC0696">
        <w:fldChar w:fldCharType="separate"/>
      </w:r>
      <w:r w:rsidRPr="00CC0696">
        <w:rPr>
          <w:noProof/>
        </w:rPr>
        <w:t>1</w:t>
      </w:r>
      <w:r w:rsidRPr="00CC0696">
        <w:fldChar w:fldCharType="end"/>
      </w:r>
      <w:r>
        <w:t xml:space="preserve"> </w:t>
      </w:r>
      <w:r w:rsidRPr="00CC0696">
        <w:rPr>
          <w:rFonts w:cs="Times New Roman"/>
        </w:rPr>
        <w:t>presents the project schedule in the form of a Gantt chart spanning three fiscal years (FY27</w:t>
      </w:r>
      <w:r w:rsidR="007427FB">
        <w:rPr>
          <w:rFonts w:cs="Times New Roman"/>
        </w:rPr>
        <w:t xml:space="preserve"> through </w:t>
      </w:r>
      <w:r w:rsidRPr="00CC0696">
        <w:rPr>
          <w:rFonts w:cs="Times New Roman"/>
        </w:rPr>
        <w:t>FY29). The schedule is structured to deliberately overlap modeling, system development, and experimental activities to reduce technical risk and enable early feedback between tasks. This phased yet overlapping structure ensures that lessons learned during early modeling and design directly inform physical implementation and validation, while maintaining schedule flexibility to address emergent technical or regulatory insights.</w:t>
      </w:r>
    </w:p>
    <w:p w14:paraId="4BA2335D" w14:textId="42D97B54" w:rsidR="00954608" w:rsidRPr="00BB79FC" w:rsidRDefault="0059781A" w:rsidP="00372EE9">
      <w:pPr>
        <w:pStyle w:val="Heading1"/>
        <w:spacing w:before="220" w:line="240" w:lineRule="auto"/>
        <w:contextualSpacing/>
        <w:rPr>
          <w:color w:val="auto"/>
        </w:rPr>
      </w:pPr>
      <w:r>
        <w:rPr>
          <w:rFonts w:ascii="Times New Roman" w:hAnsi="Times New Roman"/>
          <w:color w:val="auto"/>
          <w:sz w:val="24"/>
        </w:rPr>
        <w:t>5</w:t>
      </w:r>
      <w:r w:rsidR="00000000" w:rsidRPr="00BB79FC">
        <w:rPr>
          <w:rFonts w:ascii="Times New Roman" w:hAnsi="Times New Roman"/>
          <w:color w:val="auto"/>
          <w:sz w:val="24"/>
        </w:rPr>
        <w:t>. Expected Outcomes and Impact</w:t>
      </w:r>
    </w:p>
    <w:p w14:paraId="28995233" w14:textId="2EE1E134" w:rsidR="00954608" w:rsidRDefault="00C75CFF" w:rsidP="00365850">
      <w:pPr>
        <w:spacing w:after="120" w:line="240" w:lineRule="auto"/>
        <w:contextualSpacing/>
        <w:jc w:val="both"/>
      </w:pPr>
      <w:r w:rsidRPr="00024303">
        <w:t xml:space="preserve">This project will produce a regulator-aligned demonstration of DTCS applied to remote reactor operation, along with a comparative evaluation of DTCS against alternative DT-based cybersecurity architectures such as single anomaly-detecting DTs. </w:t>
      </w:r>
      <w:r w:rsidR="00535097">
        <w:t>We</w:t>
      </w:r>
      <w:r w:rsidRPr="00024303">
        <w:t xml:space="preserve"> will deliver a proof-of-concept for dual DTs operating in certification roles on either end of a remote operation link, supported by experimental validation against cyberattacks and system failures. Finally, the work will provide a traceable mapping of DT-based cybersecurity architectures to existing and possible future regulatory frameworks, supporting adoption by advanced reactor developers and operators.</w:t>
      </w:r>
    </w:p>
    <w:p w14:paraId="5DFFA06D" w14:textId="77777777" w:rsidR="00EC74DD" w:rsidRDefault="00EC74DD" w:rsidP="00365850">
      <w:pPr>
        <w:spacing w:after="120" w:line="240" w:lineRule="auto"/>
        <w:contextualSpacing/>
      </w:pPr>
    </w:p>
    <w:p w14:paraId="3C6B7C38" w14:textId="13BFF74B" w:rsidR="00882966" w:rsidRDefault="00366B8E" w:rsidP="00365850">
      <w:pPr>
        <w:spacing w:line="240" w:lineRule="auto"/>
        <w:contextualSpacing/>
      </w:pPr>
      <w:r w:rsidRPr="00EC74DD">
        <w:rPr>
          <w:rFonts w:cs="Times New Roman"/>
          <w:b/>
          <w:bCs/>
          <w:sz w:val="24"/>
          <w:szCs w:val="24"/>
        </w:rPr>
        <w:t>Bibliography</w:t>
      </w:r>
      <w:r>
        <w:br/>
        <w:t xml:space="preserve">[1] H. C. Bryan, K. W. Jesse, C. A. Miller, and J. M. Browning, “Remote Nuclear Microreactors: A Preliminary Economic Evaluation of Digital Twins and Centralized Offsite Control,” Frontiers in Nuclear Engineering, vol. 2, Dec. 2023, Article 1293908, </w:t>
      </w:r>
      <w:hyperlink r:id="rId13" w:history="1">
        <w:r w:rsidR="00882966" w:rsidRPr="00A92588">
          <w:rPr>
            <w:rStyle w:val="Hyperlink"/>
          </w:rPr>
          <w:t>https://doi.org/10.3389/fnuen.2023.1293908</w:t>
        </w:r>
      </w:hyperlink>
      <w:r w:rsidR="00882966">
        <w:t>.</w:t>
      </w:r>
    </w:p>
    <w:p w14:paraId="371B044D" w14:textId="6698ECC4" w:rsidR="00882966" w:rsidRDefault="00366B8E" w:rsidP="00365850">
      <w:pPr>
        <w:spacing w:line="240" w:lineRule="auto"/>
        <w:contextualSpacing/>
      </w:pPr>
      <w:r>
        <w:t xml:space="preserve">[2] R. Fasano, A. Hahn, J. James, C. Lamb, and A. Haddad, Cyber‑Physical Risks for Advanced Reactors, Sandia National Laboratories, Albuquerque, NM, SAND2021‑11995, Sept. 2021, </w:t>
      </w:r>
      <w:hyperlink r:id="rId14" w:history="1">
        <w:r w:rsidR="00882966" w:rsidRPr="00A92588">
          <w:rPr>
            <w:rStyle w:val="Hyperlink"/>
          </w:rPr>
          <w:t>https://doi.org/10.2172/1854721</w:t>
        </w:r>
      </w:hyperlink>
      <w:r w:rsidR="00882966">
        <w:t>.</w:t>
      </w:r>
    </w:p>
    <w:p w14:paraId="26DC3D67" w14:textId="60FFA00B" w:rsidR="00882966" w:rsidRDefault="00366B8E" w:rsidP="00365850">
      <w:pPr>
        <w:spacing w:line="240" w:lineRule="auto"/>
        <w:contextualSpacing/>
      </w:pPr>
      <w:r>
        <w:t>[3] T. Rivera and I. Garcia, NRC Regulatory Efforts for Cybersecurity of Advanced Reactors, U.S. Nuclear Regulatory Commission, Washington, DC.</w:t>
      </w:r>
      <w:r>
        <w:br/>
        <w:t>[4] K. Stevens, Digital Twin Model Development for a Proof‑of‑Concept Study of a Novel Remote Monitoring and Operation Framework for Nuclear Microreactors, Ph.D. dissertation, Oregon State University, Corvallis, OR, June 2024.</w:t>
      </w:r>
      <w:r>
        <w:br/>
        <w:t xml:space="preserve">[5] K. Stevens et al., “Digital Twin Framework for the Resilient Remote Monitoring and Operation of Nuclear Microreactors,” Proceedings of the AHFE International Conference, 2023, </w:t>
      </w:r>
      <w:hyperlink r:id="rId15" w:history="1">
        <w:r w:rsidR="00882966" w:rsidRPr="00A92588">
          <w:rPr>
            <w:rStyle w:val="Hyperlink"/>
          </w:rPr>
          <w:t>https://doi.org/10.54941/ahfe1004400</w:t>
        </w:r>
      </w:hyperlink>
      <w:r w:rsidR="00882966">
        <w:t>.</w:t>
      </w:r>
    </w:p>
    <w:p w14:paraId="31AB802B" w14:textId="4C5FDF1F" w:rsidR="00EC74DD" w:rsidRPr="00882966" w:rsidRDefault="00366B8E" w:rsidP="00365850">
      <w:pPr>
        <w:spacing w:line="240" w:lineRule="auto"/>
        <w:contextualSpacing/>
      </w:pPr>
      <w:r>
        <w:t>[6] T. Lewis and H. S. Abdel‑Khalik, “On the Control of Nonlinear Systems Using Directed Infusion of Data (DIOD),” unpublished technical manuscript.</w:t>
      </w:r>
      <w:r>
        <w:br/>
        <w:t xml:space="preserve">[7] C. Lamb and D. Sandoval, Barriers and Alternatives to Encryption in Critical Nuclear Systems, Sandia National Laboratories, Albuquerque, NM, SAND2023‑09883, Oct. 2023, </w:t>
      </w:r>
      <w:hyperlink r:id="rId16" w:history="1">
        <w:r w:rsidR="00882966" w:rsidRPr="00A92588">
          <w:rPr>
            <w:rStyle w:val="Hyperlink"/>
          </w:rPr>
          <w:t>https://doi.org/10.2172/2430264</w:t>
        </w:r>
      </w:hyperlink>
      <w:r w:rsidR="00882966">
        <w:t>.</w:t>
      </w:r>
      <w:r>
        <w:br/>
        <w:t xml:space="preserve">[8] Y. Zhang, C. Du, Z. Chen, Z. Feng, and W. Gui, “Digital Twin‑Based Resilient Model Predictive Control for Industrial Cyber‑Physical Systems,” IEEE Journal of Emerging and Selected Topics in Industrial Electronics, 2025, </w:t>
      </w:r>
      <w:hyperlink r:id="rId17" w:history="1">
        <w:r w:rsidR="00882966" w:rsidRPr="00A92588">
          <w:rPr>
            <w:rStyle w:val="Hyperlink"/>
          </w:rPr>
          <w:t>https://doi.org/10.1109/JESTIE.2025.3528881</w:t>
        </w:r>
      </w:hyperlink>
      <w:r w:rsidR="00882966">
        <w:t>.</w:t>
      </w:r>
      <w:r>
        <w:br/>
        <w:t>[9] J. Ross, B. Collins, C. Gentry, and K. Clarno, “A Multiphysics Reduced‑Order Model for TRIGA Reactors Using Dynamic Mode Decomposition,” submitted to Mathematics and Computation (M&amp;C 2025).</w:t>
      </w:r>
      <w:r>
        <w:br/>
        <w:t xml:space="preserve">[10] J. Seo and W. S. Charlton, “Technical Challenges and Gaps in Integration of Advanced Sensors, Instrumentation, and Communication Technologies with Digital Twins for Nuclear Applications,” Proceedings of the 13th NPIC&amp;HMIT Conference, Knoxville, TN, American Nuclear Society, 2023, pp. 710–719, </w:t>
      </w:r>
      <w:hyperlink r:id="rId18" w:history="1">
        <w:r w:rsidRPr="00882966">
          <w:rPr>
            <w:rStyle w:val="Hyperlink"/>
          </w:rPr>
          <w:t>https://doi.org/10.13182/NPICHMIT23‑41192</w:t>
        </w:r>
      </w:hyperlink>
      <w:r>
        <w:t>.</w:t>
      </w:r>
      <w:r>
        <w:br/>
        <w:t>[11] I. Garcia and T. Rivera, Draft Regulatory Guide DG‑5075, U.S. Nuclear Regulatory Commission, Washington, DC.</w:t>
      </w:r>
      <w:r>
        <w:br/>
        <w:t>[12] U.S. Nuclear Regulatory Commission, “Protection of Digital Computer and Communication Systems and Networks,” Title 10, Code of Federal Regulations, Part 73.54.</w:t>
      </w:r>
      <w:r>
        <w:br/>
        <w:t>[13] T. Smith et al., The IEC Standard Series on Cybersecurity for I&amp;C and Electrical Systems in Nuclear Power Plants, International Electrotechnical Commission, Geneva, Switzerland.</w:t>
      </w:r>
      <w:r>
        <w:br/>
        <w:t xml:space="preserve">[14] K. Stouffer et al., Guide to Operational Technology (OT) Security, National Institute of Standards and Technology, Gaithersburg, MD, NIST Special Publication 800‑82 Rev. 3, Sept. 2023, </w:t>
      </w:r>
      <w:hyperlink r:id="rId19" w:history="1">
        <w:r w:rsidRPr="00882966">
          <w:rPr>
            <w:rStyle w:val="Hyperlink"/>
          </w:rPr>
          <w:t>https://doi.org/10.6028/NIST.SP.800‑82r3</w:t>
        </w:r>
      </w:hyperlink>
      <w:r>
        <w:t>.</w:t>
      </w:r>
      <w:r>
        <w:br/>
        <w:t xml:space="preserve">[15] B. Karch, R. Valme, M. Tanaka, and C. Lamb, Advanced Reactor Control Systems Authentication Methods and Recommendations, Sandia National Laboratories, Albuquerque, NM, SAND2023‑09882, Oct. 2023, </w:t>
      </w:r>
      <w:hyperlink r:id="rId20" w:history="1">
        <w:r w:rsidR="00882966" w:rsidRPr="00A92588">
          <w:rPr>
            <w:rStyle w:val="Hyperlink"/>
          </w:rPr>
          <w:t>https://doi.org/10.2172/2430252</w:t>
        </w:r>
      </w:hyperlink>
      <w:r w:rsidR="00882966">
        <w:t>.</w:t>
      </w:r>
      <w:r>
        <w:br/>
        <w:t>[16] A. S. Hahn et al., “Methods for Prioritizing Simulation of Unsafe Control Actions for Cybersecurity Analysis,” Sandia National Laboratories, Albuquerque, NM.</w:t>
      </w:r>
      <w:r>
        <w:br/>
        <w:t xml:space="preserve">[17] R. Stewart et al., “The AGN‑201 Digital Twin: A Test Bed for Remotely Monitoring Nuclear Reactors,” Annals of Nuclear Energy, vol. 213, Apr. 2025, Article 111041, </w:t>
      </w:r>
      <w:hyperlink r:id="rId21" w:history="1">
        <w:r w:rsidR="00882966" w:rsidRPr="00A92588">
          <w:rPr>
            <w:rStyle w:val="Hyperlink"/>
          </w:rPr>
          <w:t>https://doi.org/10.1016/j.anucene.2024.111041</w:t>
        </w:r>
      </w:hyperlink>
      <w:r w:rsidR="00882966">
        <w:t>.</w:t>
      </w:r>
      <w:r>
        <w:br/>
        <w:t>[1</w:t>
      </w:r>
      <w:r w:rsidR="001C4D6E">
        <w:t>8</w:t>
      </w:r>
      <w:r>
        <w:t>] D. A. Kim, K. Lawson‑Jenkins, D. D. Eskins, I. Garcia, and T. Rivera, Cybersecurity Considerations of Autonomy in Nuclear Facilities (Cybersecurity Licensing Activities), U.S. Nuclear Regulatory Commission.</w:t>
      </w:r>
    </w:p>
    <w:sectPr w:rsidR="00EC74DD" w:rsidRPr="00882966" w:rsidSect="0003461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uciano, Nick" w:date="2026-01-25T15:38:00Z" w:initials="LN">
    <w:p w14:paraId="6BA1DD6C" w14:textId="1F0AFFEA" w:rsidR="00991D9A" w:rsidRDefault="00991D9A">
      <w:pPr>
        <w:pStyle w:val="CommentText"/>
      </w:pPr>
      <w:r>
        <w:rPr>
          <w:rStyle w:val="CommentReference"/>
        </w:rPr>
        <w:annotationRef/>
      </w:r>
      <w:r>
        <w:t>We need to assign correct UT and INL PI for this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A1DD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3B2F8A" w16cex:dateUtc="2026-01-25T2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A1DD6C" w16cid:durableId="283B2F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AB041" w14:textId="77777777" w:rsidR="00F15BD1" w:rsidRDefault="00F15BD1" w:rsidP="00B665E4">
      <w:pPr>
        <w:spacing w:after="0" w:line="240" w:lineRule="auto"/>
      </w:pPr>
      <w:r>
        <w:separator/>
      </w:r>
    </w:p>
  </w:endnote>
  <w:endnote w:type="continuationSeparator" w:id="0">
    <w:p w14:paraId="6345C3A8" w14:textId="77777777" w:rsidR="00F15BD1" w:rsidRDefault="00F15BD1" w:rsidP="00B66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644A5" w14:textId="77777777" w:rsidR="00F15BD1" w:rsidRDefault="00F15BD1" w:rsidP="00B665E4">
      <w:pPr>
        <w:spacing w:after="0" w:line="240" w:lineRule="auto"/>
      </w:pPr>
      <w:r>
        <w:separator/>
      </w:r>
    </w:p>
  </w:footnote>
  <w:footnote w:type="continuationSeparator" w:id="0">
    <w:p w14:paraId="197FE0F8" w14:textId="77777777" w:rsidR="00F15BD1" w:rsidRDefault="00F15BD1" w:rsidP="00B66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CC712E3"/>
    <w:multiLevelType w:val="hybridMultilevel"/>
    <w:tmpl w:val="F98035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16894076">
    <w:abstractNumId w:val="8"/>
  </w:num>
  <w:num w:numId="2" w16cid:durableId="1528063462">
    <w:abstractNumId w:val="6"/>
  </w:num>
  <w:num w:numId="3" w16cid:durableId="254826228">
    <w:abstractNumId w:val="5"/>
  </w:num>
  <w:num w:numId="4" w16cid:durableId="709720446">
    <w:abstractNumId w:val="4"/>
  </w:num>
  <w:num w:numId="5" w16cid:durableId="1726759102">
    <w:abstractNumId w:val="7"/>
  </w:num>
  <w:num w:numId="6" w16cid:durableId="369379955">
    <w:abstractNumId w:val="3"/>
  </w:num>
  <w:num w:numId="7" w16cid:durableId="1327975238">
    <w:abstractNumId w:val="2"/>
  </w:num>
  <w:num w:numId="8" w16cid:durableId="1826168350">
    <w:abstractNumId w:val="1"/>
  </w:num>
  <w:num w:numId="9" w16cid:durableId="709258494">
    <w:abstractNumId w:val="0"/>
  </w:num>
  <w:num w:numId="10" w16cid:durableId="173632159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ciano, Nick">
    <w15:presenceInfo w15:providerId="AD" w15:userId="S::npl436@eid.utexas.edu::75c3e593-5c24-42df-8715-0cf7acd13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62D"/>
    <w:rsid w:val="0006063C"/>
    <w:rsid w:val="00121656"/>
    <w:rsid w:val="0015074B"/>
    <w:rsid w:val="001C4D6E"/>
    <w:rsid w:val="001C79D2"/>
    <w:rsid w:val="00235745"/>
    <w:rsid w:val="002943A5"/>
    <w:rsid w:val="0029639D"/>
    <w:rsid w:val="00326F90"/>
    <w:rsid w:val="00344508"/>
    <w:rsid w:val="00365850"/>
    <w:rsid w:val="00366B8E"/>
    <w:rsid w:val="00372EE9"/>
    <w:rsid w:val="0038741E"/>
    <w:rsid w:val="004473CF"/>
    <w:rsid w:val="00477BAE"/>
    <w:rsid w:val="004B6EB3"/>
    <w:rsid w:val="004C706B"/>
    <w:rsid w:val="00535097"/>
    <w:rsid w:val="00570AC3"/>
    <w:rsid w:val="0058472D"/>
    <w:rsid w:val="0059781A"/>
    <w:rsid w:val="0060492D"/>
    <w:rsid w:val="00660F24"/>
    <w:rsid w:val="00693DC0"/>
    <w:rsid w:val="006C2BBF"/>
    <w:rsid w:val="007415B0"/>
    <w:rsid w:val="007427FB"/>
    <w:rsid w:val="00797B42"/>
    <w:rsid w:val="007C0253"/>
    <w:rsid w:val="008150E0"/>
    <w:rsid w:val="008448F8"/>
    <w:rsid w:val="00882966"/>
    <w:rsid w:val="008C1B84"/>
    <w:rsid w:val="008C3F8A"/>
    <w:rsid w:val="00954608"/>
    <w:rsid w:val="00991D9A"/>
    <w:rsid w:val="009F262E"/>
    <w:rsid w:val="00A33A4D"/>
    <w:rsid w:val="00A46E98"/>
    <w:rsid w:val="00AA1D8D"/>
    <w:rsid w:val="00B42C16"/>
    <w:rsid w:val="00B47730"/>
    <w:rsid w:val="00B665E4"/>
    <w:rsid w:val="00BB79FC"/>
    <w:rsid w:val="00C360D9"/>
    <w:rsid w:val="00C75CFF"/>
    <w:rsid w:val="00C9105C"/>
    <w:rsid w:val="00CB0664"/>
    <w:rsid w:val="00CC0696"/>
    <w:rsid w:val="00CC12A8"/>
    <w:rsid w:val="00D655D3"/>
    <w:rsid w:val="00D97F1D"/>
    <w:rsid w:val="00DB1BAA"/>
    <w:rsid w:val="00EC74DD"/>
    <w:rsid w:val="00EE1B06"/>
    <w:rsid w:val="00F15BD1"/>
    <w:rsid w:val="00F37670"/>
    <w:rsid w:val="00F531BC"/>
    <w:rsid w:val="00F83A3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21AB1E"/>
  <w14:defaultImageDpi w14:val="300"/>
  <w15:docId w15:val="{E262CFE4-3045-234A-85ED-C751190C8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BB79FC"/>
    <w:pPr>
      <w:spacing w:before="100" w:beforeAutospacing="1" w:after="100" w:afterAutospacing="1" w:line="240" w:lineRule="auto"/>
    </w:pPr>
    <w:rPr>
      <w:rFonts w:cs="Times New Roman"/>
      <w:sz w:val="24"/>
      <w:szCs w:val="24"/>
    </w:rPr>
  </w:style>
  <w:style w:type="paragraph" w:customStyle="1" w:styleId="Normal1">
    <w:name w:val="Normal1"/>
    <w:qFormat/>
    <w:rsid w:val="00D655D3"/>
    <w:pPr>
      <w:spacing w:after="0" w:line="240" w:lineRule="auto"/>
    </w:pPr>
    <w:rPr>
      <w:rFonts w:ascii="Calibri" w:eastAsia="Calibri" w:hAnsi="Calibri" w:cs="Calibri"/>
      <w:sz w:val="24"/>
      <w:szCs w:val="24"/>
      <w:lang w:eastAsia="zh-CN"/>
    </w:rPr>
  </w:style>
  <w:style w:type="character" w:styleId="CommentReference">
    <w:name w:val="annotation reference"/>
    <w:basedOn w:val="DefaultParagraphFont"/>
    <w:uiPriority w:val="99"/>
    <w:semiHidden/>
    <w:unhideWhenUsed/>
    <w:rsid w:val="00D655D3"/>
    <w:rPr>
      <w:sz w:val="16"/>
      <w:szCs w:val="16"/>
    </w:rPr>
  </w:style>
  <w:style w:type="paragraph" w:styleId="CommentText">
    <w:name w:val="annotation text"/>
    <w:basedOn w:val="Normal"/>
    <w:link w:val="CommentTextChar"/>
    <w:uiPriority w:val="99"/>
    <w:unhideWhenUsed/>
    <w:rsid w:val="00D655D3"/>
    <w:pPr>
      <w:spacing w:after="160" w:line="240" w:lineRule="auto"/>
    </w:pPr>
    <w:rPr>
      <w:rFonts w:asciiTheme="minorHAnsi" w:eastAsiaTheme="minorHAnsi" w:hAnsiTheme="minorHAnsi"/>
      <w:kern w:val="2"/>
      <w:sz w:val="20"/>
      <w:szCs w:val="20"/>
      <w14:ligatures w14:val="standardContextual"/>
    </w:rPr>
  </w:style>
  <w:style w:type="character" w:customStyle="1" w:styleId="CommentTextChar">
    <w:name w:val="Comment Text Char"/>
    <w:basedOn w:val="DefaultParagraphFont"/>
    <w:link w:val="CommentText"/>
    <w:uiPriority w:val="99"/>
    <w:rsid w:val="00D655D3"/>
    <w:rPr>
      <w:rFonts w:eastAsiaTheme="minorHAnsi"/>
      <w:kern w:val="2"/>
      <w:sz w:val="20"/>
      <w:szCs w:val="20"/>
      <w14:ligatures w14:val="standardContextual"/>
    </w:rPr>
  </w:style>
  <w:style w:type="paragraph" w:styleId="Bibliography">
    <w:name w:val="Bibliography"/>
    <w:basedOn w:val="Normal"/>
    <w:next w:val="Normal"/>
    <w:uiPriority w:val="37"/>
    <w:semiHidden/>
    <w:unhideWhenUsed/>
    <w:rsid w:val="00EC74DD"/>
  </w:style>
  <w:style w:type="paragraph" w:styleId="Revision">
    <w:name w:val="Revision"/>
    <w:hidden/>
    <w:uiPriority w:val="99"/>
    <w:semiHidden/>
    <w:rsid w:val="00B665E4"/>
    <w:pPr>
      <w:spacing w:after="0" w:line="240" w:lineRule="auto"/>
    </w:pPr>
    <w:rPr>
      <w:rFonts w:ascii="Times New Roman" w:eastAsia="Times New Roman" w:hAnsi="Times New Roman"/>
    </w:rPr>
  </w:style>
  <w:style w:type="paragraph" w:styleId="FootnoteText">
    <w:name w:val="footnote text"/>
    <w:basedOn w:val="Normal"/>
    <w:link w:val="FootnoteTextChar"/>
    <w:uiPriority w:val="99"/>
    <w:semiHidden/>
    <w:unhideWhenUsed/>
    <w:rsid w:val="00B665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665E4"/>
    <w:rPr>
      <w:rFonts w:ascii="Times New Roman" w:eastAsia="Times New Roman" w:hAnsi="Times New Roman"/>
      <w:sz w:val="20"/>
      <w:szCs w:val="20"/>
    </w:rPr>
  </w:style>
  <w:style w:type="character" w:styleId="FootnoteReference">
    <w:name w:val="footnote reference"/>
    <w:basedOn w:val="DefaultParagraphFont"/>
    <w:uiPriority w:val="99"/>
    <w:semiHidden/>
    <w:unhideWhenUsed/>
    <w:rsid w:val="00B665E4"/>
    <w:rPr>
      <w:vertAlign w:val="superscript"/>
    </w:rPr>
  </w:style>
  <w:style w:type="paragraph" w:customStyle="1" w:styleId="paragraph">
    <w:name w:val="paragraph"/>
    <w:basedOn w:val="Normal"/>
    <w:rsid w:val="00570AC3"/>
    <w:pPr>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570AC3"/>
  </w:style>
  <w:style w:type="character" w:customStyle="1" w:styleId="eop">
    <w:name w:val="eop"/>
    <w:basedOn w:val="DefaultParagraphFont"/>
    <w:rsid w:val="00570AC3"/>
  </w:style>
  <w:style w:type="character" w:styleId="Hyperlink">
    <w:name w:val="Hyperlink"/>
    <w:basedOn w:val="DefaultParagraphFont"/>
    <w:uiPriority w:val="99"/>
    <w:unhideWhenUsed/>
    <w:rsid w:val="00882966"/>
    <w:rPr>
      <w:color w:val="0000FF" w:themeColor="hyperlink"/>
      <w:u w:val="single"/>
    </w:rPr>
  </w:style>
  <w:style w:type="character" w:styleId="UnresolvedMention">
    <w:name w:val="Unresolved Mention"/>
    <w:basedOn w:val="DefaultParagraphFont"/>
    <w:uiPriority w:val="99"/>
    <w:semiHidden/>
    <w:unhideWhenUsed/>
    <w:rsid w:val="0088296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415B0"/>
    <w:pPr>
      <w:spacing w:after="200"/>
    </w:pPr>
    <w:rPr>
      <w:rFonts w:ascii="Times New Roman" w:eastAsia="Times New Roman" w:hAnsi="Times New Roman"/>
      <w:b/>
      <w:bCs/>
      <w:kern w:val="0"/>
      <w14:ligatures w14:val="none"/>
    </w:rPr>
  </w:style>
  <w:style w:type="character" w:customStyle="1" w:styleId="CommentSubjectChar">
    <w:name w:val="Comment Subject Char"/>
    <w:basedOn w:val="CommentTextChar"/>
    <w:link w:val="CommentSubject"/>
    <w:uiPriority w:val="99"/>
    <w:semiHidden/>
    <w:rsid w:val="007415B0"/>
    <w:rPr>
      <w:rFonts w:ascii="Times New Roman" w:eastAsia="Times New Roman" w:hAnsi="Times New Roman"/>
      <w:b/>
      <w:bCs/>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doi.org/10.3389/fnuen.2023.1293908" TargetMode="External"/><Relationship Id="rId18" Type="http://schemas.openxmlformats.org/officeDocument/2006/relationships/hyperlink" Target="https://doi.org/10.13182/NPICHMIT23&#8209;41192" TargetMode="External"/><Relationship Id="rId3" Type="http://schemas.openxmlformats.org/officeDocument/2006/relationships/styles" Target="styles.xml"/><Relationship Id="rId21" Type="http://schemas.openxmlformats.org/officeDocument/2006/relationships/hyperlink" Target="https://doi.org/10.1016/j.anucene.2024.111041"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https://doi.org/10.1109/JESTIE.2025.3528881" TargetMode="External"/><Relationship Id="rId2" Type="http://schemas.openxmlformats.org/officeDocument/2006/relationships/numbering" Target="numbering.xml"/><Relationship Id="rId16" Type="http://schemas.openxmlformats.org/officeDocument/2006/relationships/hyperlink" Target="https://doi.org/10.2172/2430264" TargetMode="External"/><Relationship Id="rId20" Type="http://schemas.openxmlformats.org/officeDocument/2006/relationships/hyperlink" Target="https://doi.org/10.2172/243025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i.org/10.54941/ahfe1004400" TargetMode="External"/><Relationship Id="rId23" Type="http://schemas.microsoft.com/office/2011/relationships/people" Target="people.xml"/><Relationship Id="rId10" Type="http://schemas.microsoft.com/office/2016/09/relationships/commentsIds" Target="commentsIds.xml"/><Relationship Id="rId19" Type="http://schemas.openxmlformats.org/officeDocument/2006/relationships/hyperlink" Target="https://doi.org/10.6028/NIST.SP.800&#8209;82r3"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doi.org/10.2172/185472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7348</Words>
  <Characters>41890</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Luciano, Nick</cp:lastModifiedBy>
  <cp:revision>2</cp:revision>
  <dcterms:created xsi:type="dcterms:W3CDTF">2026-01-25T20:39:00Z</dcterms:created>
  <dcterms:modified xsi:type="dcterms:W3CDTF">2026-01-25T20:39:00Z</dcterms:modified>
  <cp:category/>
</cp:coreProperties>
</file>