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2B4C8" w14:textId="07B4BC80" w:rsidR="00D1010D" w:rsidRPr="000D0B55" w:rsidRDefault="000D0B55">
      <w:pPr>
        <w:rPr>
          <w:b/>
          <w:bCs/>
        </w:rPr>
      </w:pPr>
      <w:r w:rsidRPr="000D0B55">
        <w:rPr>
          <w:b/>
          <w:bCs/>
        </w:rPr>
        <w:t>Topic Area:</w:t>
      </w:r>
      <w:r w:rsidR="009A2490">
        <w:rPr>
          <w:b/>
          <w:bCs/>
        </w:rPr>
        <w:t xml:space="preserve"> IRP-1</w:t>
      </w:r>
    </w:p>
    <w:p w14:paraId="2DEAB4CD" w14:textId="762820D0" w:rsidR="000D0B55" w:rsidRDefault="000D0B55">
      <w:r w:rsidRPr="000D0B55">
        <w:rPr>
          <w:b/>
          <w:bCs/>
        </w:rPr>
        <w:t>PI:</w:t>
      </w:r>
      <w:r>
        <w:t xml:space="preserve"> TBD:</w:t>
      </w:r>
    </w:p>
    <w:p w14:paraId="4EEC8230" w14:textId="71BD6E44" w:rsidR="000D0B55" w:rsidRPr="009A2490" w:rsidRDefault="000D0B55">
      <w:r w:rsidRPr="000D0B55">
        <w:rPr>
          <w:b/>
          <w:bCs/>
        </w:rPr>
        <w:t>Collaborators:</w:t>
      </w:r>
      <w:r w:rsidR="009A2490">
        <w:rPr>
          <w:b/>
          <w:bCs/>
        </w:rPr>
        <w:t xml:space="preserve"> </w:t>
      </w:r>
      <w:r w:rsidR="009A2490">
        <w:t>Ryan Stewart (INL)</w:t>
      </w:r>
      <w:r w:rsidR="00583FC9">
        <w:t>, Maybe University of Utah</w:t>
      </w:r>
    </w:p>
    <w:p w14:paraId="66AC1555" w14:textId="77777777" w:rsidR="000D0B55" w:rsidRDefault="000D0B55"/>
    <w:p w14:paraId="19209CC9" w14:textId="60AD48AD" w:rsidR="000D0B55" w:rsidRDefault="000D0B55">
      <w:pPr>
        <w:rPr>
          <w:u w:val="single"/>
        </w:rPr>
      </w:pPr>
      <w:r w:rsidRPr="000D0B55">
        <w:rPr>
          <w:u w:val="single"/>
        </w:rPr>
        <w:t>Overview</w:t>
      </w:r>
    </w:p>
    <w:p w14:paraId="4A71899B" w14:textId="77777777" w:rsidR="000D0B55" w:rsidRDefault="000D0B55"/>
    <w:p w14:paraId="6D2739EF" w14:textId="029ED77D" w:rsidR="00583FC9" w:rsidRPr="00583FC9" w:rsidRDefault="00583FC9" w:rsidP="00583FC9">
      <w:pPr>
        <w:tabs>
          <w:tab w:val="left" w:pos="1515"/>
        </w:tabs>
      </w:pPr>
      <w:r w:rsidRPr="00583FC9">
        <w:t xml:space="preserve">Digital twins (DTs) for nuclear systems promise a step change in the way research reactors are modeled, monitored, and operated—enabling faster-than-real-time state estimation, improved predictive capability, and more efficient validation of advanced methods. However, DT development today remains fragmented: physics tools, data systems, reduced-order models (ROMs), and deployment pipelines are often </w:t>
      </w:r>
      <w:r>
        <w:t xml:space="preserve">highly </w:t>
      </w:r>
      <w:r w:rsidRPr="00583FC9">
        <w:t>tailored, tightly coupled, and difficult to reproduce or extend across facilities.</w:t>
      </w:r>
    </w:p>
    <w:p w14:paraId="698CACD5" w14:textId="7CE15FDA" w:rsidR="00583FC9" w:rsidRDefault="00583FC9" w:rsidP="00583FC9">
      <w:pPr>
        <w:tabs>
          <w:tab w:val="left" w:pos="1515"/>
        </w:tabs>
      </w:pPr>
    </w:p>
    <w:p w14:paraId="342658CB" w14:textId="573BA40F" w:rsidR="00583FC9" w:rsidRDefault="00583FC9" w:rsidP="00583FC9">
      <w:pPr>
        <w:tabs>
          <w:tab w:val="left" w:pos="1515"/>
        </w:tabs>
      </w:pPr>
      <w:r w:rsidRPr="00583FC9">
        <w:t>This proposal addresses that gap by developing an open-source, extensible framework and toolchain for creating and deploying nuclear digital twins, demonstrated on TRIGA research reactors in collaboration with Idaho National Laboratory (INL) and the University of Utah (with additional deployment targets including UT’s, INL’s, and Utah’s TRIGA systems). The overarching goal is to make digital twin creation repeatable, automated where possible, and portable—so new facilities can “plug in” data streams, physics models, and ROMs without re-engineering an entire architecture.</w:t>
      </w:r>
      <w:r>
        <w:t xml:space="preserve"> </w:t>
      </w:r>
      <w:r w:rsidRPr="00583FC9">
        <w:t xml:space="preserve">The result </w:t>
      </w:r>
      <w:r>
        <w:t>will</w:t>
      </w:r>
      <w:r w:rsidRPr="00583FC9">
        <w:t xml:space="preserve"> not </w:t>
      </w:r>
      <w:r>
        <w:t xml:space="preserve">be </w:t>
      </w:r>
      <w:r w:rsidRPr="00583FC9">
        <w:t>a single monolithic “digital twin,” but a DT factory: a standardized set of components (data, semantics/ontology, solver workflows, ROM training/deployment, and operations integration) that can be configured per facility.</w:t>
      </w:r>
    </w:p>
    <w:p w14:paraId="3007D72D" w14:textId="77777777" w:rsidR="00BB2EB8" w:rsidRDefault="00BB2EB8" w:rsidP="00583FC9">
      <w:pPr>
        <w:tabs>
          <w:tab w:val="left" w:pos="1515"/>
        </w:tabs>
      </w:pPr>
    </w:p>
    <w:p w14:paraId="435D01D5" w14:textId="06EFD1F8" w:rsidR="00BB2EB8" w:rsidRDefault="00BB2EB8" w:rsidP="00583FC9">
      <w:pPr>
        <w:tabs>
          <w:tab w:val="left" w:pos="1515"/>
        </w:tabs>
      </w:pPr>
      <w:r>
        <w:rPr>
          <w:u w:val="single"/>
        </w:rPr>
        <w:t>Technical Objectives</w:t>
      </w:r>
    </w:p>
    <w:p w14:paraId="4F9DCC1E" w14:textId="77777777" w:rsidR="00BB2EB8" w:rsidRDefault="00BB2EB8" w:rsidP="00583FC9">
      <w:pPr>
        <w:tabs>
          <w:tab w:val="left" w:pos="1515"/>
        </w:tabs>
      </w:pPr>
    </w:p>
    <w:p w14:paraId="063A6116" w14:textId="3C634CBC" w:rsidR="00BB2EB8" w:rsidRDefault="00BB2EB8" w:rsidP="00BB2EB8">
      <w:pPr>
        <w:tabs>
          <w:tab w:val="left" w:pos="1515"/>
        </w:tabs>
      </w:pPr>
      <w:r w:rsidRPr="00BB2EB8">
        <w:t xml:space="preserve">This effort will deliver an integrated, open-source ecosystem with </w:t>
      </w:r>
      <w:r w:rsidR="008D720A">
        <w:t>six</w:t>
      </w:r>
      <w:r w:rsidRPr="00BB2EB8">
        <w:t xml:space="preserve"> </w:t>
      </w:r>
      <w:r w:rsidR="008D720A">
        <w:t>primary</w:t>
      </w:r>
      <w:r w:rsidRPr="00BB2EB8">
        <w:t xml:space="preserve"> objectives:</w:t>
      </w:r>
    </w:p>
    <w:p w14:paraId="1B3B9CEA" w14:textId="77777777" w:rsidR="00BB2EB8" w:rsidRPr="00BB2EB8" w:rsidRDefault="00BB2EB8" w:rsidP="00BB2EB8">
      <w:pPr>
        <w:tabs>
          <w:tab w:val="left" w:pos="1515"/>
        </w:tabs>
      </w:pPr>
    </w:p>
    <w:p w14:paraId="2972B957" w14:textId="7C8386C2" w:rsidR="00BB2EB8" w:rsidRDefault="00BB2EB8" w:rsidP="00BB2EB8">
      <w:pPr>
        <w:tabs>
          <w:tab w:val="left" w:pos="1515"/>
        </w:tabs>
      </w:pPr>
      <w:r w:rsidRPr="00BB2EB8">
        <w:rPr>
          <w:b/>
          <w:bCs/>
        </w:rPr>
        <w:t xml:space="preserve">Objective </w:t>
      </w:r>
      <w:r w:rsidR="0060778E">
        <w:rPr>
          <w:b/>
          <w:bCs/>
        </w:rPr>
        <w:t>A</w:t>
      </w:r>
      <w:r w:rsidRPr="00BB2EB8">
        <w:rPr>
          <w:b/>
          <w:bCs/>
        </w:rPr>
        <w:t xml:space="preserve"> — Extensible Reactor Ontology via DeepLynx Nexus</w:t>
      </w:r>
      <w:r w:rsidRPr="00BB2EB8">
        <w:br/>
        <w:t xml:space="preserve">Build an extensible ontology for power and research reactors using </w:t>
      </w:r>
      <w:r w:rsidRPr="00BB2EB8">
        <w:rPr>
          <w:b/>
          <w:bCs/>
        </w:rPr>
        <w:t>DeepLynx Nexus</w:t>
      </w:r>
      <w:r w:rsidRPr="00BB2EB8">
        <w:t xml:space="preserve"> as the semantic backbone. The ontology will encode core entities (instrumentation, operations, experiments), relationships (e.g., “measurement derived from,” “model calibrated by,” “simulation run uses”), and metadata/provenance. This becomes the “common language” that lets tools discover and compose the DT pipeline automatically.</w:t>
      </w:r>
    </w:p>
    <w:p w14:paraId="5DC6F179" w14:textId="77777777" w:rsidR="00BB2EB8" w:rsidRPr="00BB2EB8" w:rsidRDefault="00BB2EB8" w:rsidP="00BB2EB8">
      <w:pPr>
        <w:tabs>
          <w:tab w:val="left" w:pos="1515"/>
        </w:tabs>
      </w:pPr>
    </w:p>
    <w:p w14:paraId="2CDC5E6C" w14:textId="1F605A5A" w:rsidR="00BB2EB8" w:rsidRPr="00BB2EB8" w:rsidRDefault="5715B7EE" w:rsidP="5715B7EE">
      <w:pPr>
        <w:spacing w:line="300" w:lineRule="auto"/>
      </w:pPr>
      <w:r w:rsidRPr="5715B7EE">
        <w:rPr>
          <w:b/>
          <w:bCs/>
        </w:rPr>
        <w:t>Objective B — Progression Problem Repository + Website (“From Simple to Realistic”)</w:t>
      </w:r>
      <w:r w:rsidR="00BB2EB8">
        <w:br/>
      </w:r>
      <w:r>
        <w:t xml:space="preserve">Establish a curated, open repository of </w:t>
      </w:r>
      <w:r w:rsidRPr="5715B7EE">
        <w:rPr>
          <w:b/>
          <w:bCs/>
        </w:rPr>
        <w:t>progression problems</w:t>
      </w:r>
      <w:r>
        <w:t xml:space="preserve">—benchmark problems that step from simplified cases to facility-relevant </w:t>
      </w:r>
      <w:r w:rsidR="006504FD">
        <w:t>complexity</w:t>
      </w:r>
      <w:r>
        <w:t xml:space="preserve">. The repository will include problem definitions, input decks, reference solutions/metrics, and recommended verification/validation (V&amp;V) practices. A companion website will support community contribution and durable documentation. </w:t>
      </w:r>
      <w:r w:rsidRPr="5715B7EE">
        <w:rPr>
          <w:rFonts w:ascii="Segoe UI" w:eastAsia="Segoe UI" w:hAnsi="Segoe UI" w:cs="Segoe UI"/>
          <w:sz w:val="21"/>
          <w:szCs w:val="21"/>
        </w:rPr>
        <w:t xml:space="preserve">Taken together, the repository may also serve as a </w:t>
      </w:r>
      <w:r w:rsidRPr="5715B7EE">
        <w:rPr>
          <w:rFonts w:ascii="Segoe UI" w:eastAsia="Segoe UI" w:hAnsi="Segoe UI" w:cs="Segoe UI"/>
          <w:b/>
          <w:bCs/>
          <w:sz w:val="21"/>
          <w:szCs w:val="21"/>
        </w:rPr>
        <w:t>semantic training corpus</w:t>
      </w:r>
      <w:r w:rsidRPr="5715B7EE">
        <w:rPr>
          <w:rFonts w:ascii="Segoe UI" w:eastAsia="Segoe UI" w:hAnsi="Segoe UI" w:cs="Segoe UI"/>
          <w:sz w:val="21"/>
          <w:szCs w:val="21"/>
        </w:rPr>
        <w:t xml:space="preserve"> for AI systems—demonstrating </w:t>
      </w:r>
      <w:r w:rsidRPr="5715B7EE">
        <w:rPr>
          <w:rFonts w:ascii="Segoe UI" w:eastAsia="Segoe UI" w:hAnsi="Segoe UI" w:cs="Segoe UI"/>
          <w:i/>
          <w:iCs/>
          <w:sz w:val="21"/>
          <w:szCs w:val="21"/>
        </w:rPr>
        <w:t>how</w:t>
      </w:r>
      <w:r w:rsidRPr="5715B7EE">
        <w:rPr>
          <w:rFonts w:ascii="Segoe UI" w:eastAsia="Segoe UI" w:hAnsi="Segoe UI" w:cs="Segoe UI"/>
          <w:sz w:val="21"/>
          <w:szCs w:val="21"/>
        </w:rPr>
        <w:t xml:space="preserve"> reactor problems are expressed, transformed, and refined across different tools (e.g., neutronics, thermal-hydraulics, multiphysics) and levels of fidelity. This would </w:t>
      </w:r>
      <w:r w:rsidRPr="5715B7EE">
        <w:rPr>
          <w:rFonts w:ascii="Segoe UI" w:eastAsia="Segoe UI" w:hAnsi="Segoe UI" w:cs="Segoe UI"/>
          <w:sz w:val="21"/>
          <w:szCs w:val="21"/>
        </w:rPr>
        <w:lastRenderedPageBreak/>
        <w:t xml:space="preserve">allow AI models to learn </w:t>
      </w:r>
      <w:r w:rsidRPr="5715B7EE">
        <w:rPr>
          <w:rFonts w:ascii="Segoe UI" w:eastAsia="Segoe UI" w:hAnsi="Segoe UI" w:cs="Segoe UI"/>
          <w:b/>
          <w:bCs/>
          <w:sz w:val="21"/>
          <w:szCs w:val="21"/>
        </w:rPr>
        <w:t>modeling intent, abstraction choices, and workflow structure</w:t>
      </w:r>
      <w:r w:rsidRPr="5715B7EE">
        <w:rPr>
          <w:rFonts w:ascii="Segoe UI" w:eastAsia="Segoe UI" w:hAnsi="Segoe UI" w:cs="Segoe UI"/>
          <w:sz w:val="21"/>
          <w:szCs w:val="21"/>
        </w:rPr>
        <w:t>, which are critical for trustworthy automation.</w:t>
      </w:r>
    </w:p>
    <w:p w14:paraId="5F19886B" w14:textId="68C11BDF" w:rsidR="00BB2EB8" w:rsidRPr="00BB2EB8" w:rsidRDefault="00BB2EB8" w:rsidP="5715B7EE">
      <w:pPr>
        <w:tabs>
          <w:tab w:val="left" w:pos="1515"/>
        </w:tabs>
      </w:pPr>
    </w:p>
    <w:p w14:paraId="69B425CA" w14:textId="5101371F" w:rsidR="00BB2EB8" w:rsidRPr="00BB2EB8" w:rsidRDefault="5715B7EE" w:rsidP="5715B7EE">
      <w:pPr>
        <w:spacing w:line="300" w:lineRule="auto"/>
      </w:pPr>
      <w:r w:rsidRPr="5715B7EE">
        <w:rPr>
          <w:b/>
          <w:bCs/>
        </w:rPr>
        <w:t>Objective C — HiFi Model Creation Tools (e.g., CoreForge)</w:t>
      </w:r>
      <w:r>
        <w:t xml:space="preserve"> Develop and mature tooling to reduce the labor needed to create HiFi models. Capabilities include geometry/material specification, meshing/workflow templating, automated input generation, and standardized output products. The goal is to make HiFi modeling </w:t>
      </w:r>
      <w:r w:rsidRPr="5715B7EE">
        <w:rPr>
          <w:i/>
          <w:iCs/>
        </w:rPr>
        <w:t>repeatable and scalable</w:t>
      </w:r>
      <w:r>
        <w:t xml:space="preserve">, not artisanal. Additionally, these tools will act as </w:t>
      </w:r>
      <w:r w:rsidRPr="5715B7EE">
        <w:rPr>
          <w:rFonts w:ascii="Segoe UI" w:eastAsia="Segoe UI" w:hAnsi="Segoe UI" w:cs="Segoe UI"/>
          <w:sz w:val="21"/>
          <w:szCs w:val="21"/>
        </w:rPr>
        <w:t xml:space="preserve">an </w:t>
      </w:r>
      <w:r w:rsidRPr="5715B7EE">
        <w:rPr>
          <w:rFonts w:ascii="Segoe UI" w:eastAsia="Segoe UI" w:hAnsi="Segoe UI" w:cs="Segoe UI"/>
          <w:b/>
          <w:bCs/>
          <w:sz w:val="21"/>
          <w:szCs w:val="21"/>
        </w:rPr>
        <w:t xml:space="preserve">abstraction layer </w:t>
      </w:r>
      <w:r w:rsidR="006504FD">
        <w:rPr>
          <w:rFonts w:ascii="Segoe UI" w:eastAsia="Segoe UI" w:hAnsi="Segoe UI" w:cs="Segoe UI"/>
          <w:b/>
          <w:bCs/>
          <w:sz w:val="21"/>
          <w:szCs w:val="21"/>
        </w:rPr>
        <w:t>/</w:t>
      </w:r>
      <w:r w:rsidRPr="5715B7EE">
        <w:rPr>
          <w:rFonts w:ascii="Segoe UI" w:eastAsia="Segoe UI" w:hAnsi="Segoe UI" w:cs="Segoe UI"/>
          <w:b/>
          <w:bCs/>
          <w:sz w:val="21"/>
          <w:szCs w:val="21"/>
        </w:rPr>
        <w:t xml:space="preserve"> intermediate reactor language</w:t>
      </w:r>
      <w:r w:rsidRPr="5715B7EE">
        <w:rPr>
          <w:rFonts w:ascii="Segoe UI" w:eastAsia="Segoe UI" w:hAnsi="Segoe UI" w:cs="Segoe UI"/>
          <w:sz w:val="21"/>
          <w:szCs w:val="21"/>
        </w:rPr>
        <w:t xml:space="preserve"> between human analysts, AI systems, HiFi simulation engines. This approach avoids AI-generated “walls of numbers” that are opaque to analysts, instead ensuring that AI-generated or AI-assisted models remain easily traceable, explainable, and adjustable. CoreForge thus becomes the stable interface through which AI can assist with model generation, parameter studies, and design exploration—while preserving analyst authority and nuclear engineering rigor.</w:t>
      </w:r>
    </w:p>
    <w:p w14:paraId="3BC56CDB" w14:textId="7C7F02E9" w:rsidR="00BB2EB8" w:rsidRPr="00BB2EB8" w:rsidRDefault="00BB2EB8" w:rsidP="5715B7EE">
      <w:pPr>
        <w:spacing w:line="300" w:lineRule="auto"/>
        <w:rPr>
          <w:rFonts w:ascii="Segoe UI" w:eastAsia="Segoe UI" w:hAnsi="Segoe UI" w:cs="Segoe UI"/>
          <w:sz w:val="21"/>
          <w:szCs w:val="21"/>
        </w:rPr>
      </w:pPr>
    </w:p>
    <w:p w14:paraId="38A45128" w14:textId="5D5B81AB" w:rsidR="00BB2EB8" w:rsidRPr="00BB2EB8" w:rsidRDefault="00BB2EB8" w:rsidP="00BB2EB8">
      <w:pPr>
        <w:tabs>
          <w:tab w:val="left" w:pos="1515"/>
        </w:tabs>
      </w:pPr>
      <w:r w:rsidRPr="00BB2EB8">
        <w:rPr>
          <w:b/>
          <w:bCs/>
        </w:rPr>
        <w:t xml:space="preserve">Objective </w:t>
      </w:r>
      <w:r w:rsidR="0060778E">
        <w:rPr>
          <w:b/>
          <w:bCs/>
        </w:rPr>
        <w:t>D</w:t>
      </w:r>
      <w:r w:rsidRPr="00BB2EB8">
        <w:rPr>
          <w:b/>
          <w:bCs/>
        </w:rPr>
        <w:t xml:space="preserve"> — ML-Assisted ROM Development</w:t>
      </w:r>
      <w:r w:rsidRPr="00BB2EB8">
        <w:t xml:space="preserve"> Create ML</w:t>
      </w:r>
      <w:r w:rsidR="0060778E">
        <w:t xml:space="preserve"> tools</w:t>
      </w:r>
      <w:r w:rsidRPr="00BB2EB8">
        <w:t xml:space="preserve"> that accelerate ROM DT development from HiFi simulation ensembles and operational datasets. This includes:</w:t>
      </w:r>
    </w:p>
    <w:p w14:paraId="12CA3F4E" w14:textId="77777777" w:rsidR="00BB2EB8" w:rsidRPr="00BB2EB8" w:rsidRDefault="00BB2EB8" w:rsidP="00BB2EB8">
      <w:pPr>
        <w:numPr>
          <w:ilvl w:val="0"/>
          <w:numId w:val="2"/>
        </w:numPr>
        <w:tabs>
          <w:tab w:val="left" w:pos="1515"/>
        </w:tabs>
      </w:pPr>
      <w:r w:rsidRPr="00BB2EB8">
        <w:t>Automated feature engineering aligned to the ontology (state variables, control inputs, derived quantities)</w:t>
      </w:r>
    </w:p>
    <w:p w14:paraId="73EB49A8" w14:textId="1D66AB1F" w:rsidR="00BB2EB8" w:rsidRPr="00BB2EB8" w:rsidRDefault="00BB2EB8" w:rsidP="00BB2EB8">
      <w:pPr>
        <w:numPr>
          <w:ilvl w:val="0"/>
          <w:numId w:val="2"/>
        </w:numPr>
        <w:tabs>
          <w:tab w:val="left" w:pos="1515"/>
        </w:tabs>
      </w:pPr>
      <w:r w:rsidRPr="00BB2EB8">
        <w:t xml:space="preserve">ROM candidate families (e.g., </w:t>
      </w:r>
      <w:r w:rsidR="0060778E">
        <w:t>kernel methods</w:t>
      </w:r>
      <w:r w:rsidRPr="00BB2EB8">
        <w:t xml:space="preserve">, neural </w:t>
      </w:r>
      <w:r w:rsidR="0060778E">
        <w:t>networks</w:t>
      </w:r>
      <w:r w:rsidRPr="00BB2EB8">
        <w:t>, hybrid physics-ML)</w:t>
      </w:r>
    </w:p>
    <w:p w14:paraId="2475A652" w14:textId="77777777" w:rsidR="00BB2EB8" w:rsidRPr="00BB2EB8" w:rsidRDefault="00BB2EB8" w:rsidP="00BB2EB8">
      <w:pPr>
        <w:numPr>
          <w:ilvl w:val="0"/>
          <w:numId w:val="2"/>
        </w:numPr>
        <w:tabs>
          <w:tab w:val="left" w:pos="1515"/>
        </w:tabs>
      </w:pPr>
      <w:r w:rsidRPr="00BB2EB8">
        <w:t xml:space="preserve">Active learning strategies to decide </w:t>
      </w:r>
      <w:r w:rsidRPr="00BB2EB8">
        <w:rPr>
          <w:i/>
          <w:iCs/>
        </w:rPr>
        <w:t>what new HiFi simulations are most valuable</w:t>
      </w:r>
    </w:p>
    <w:p w14:paraId="507A6E08" w14:textId="77777777" w:rsidR="00BB2EB8" w:rsidRDefault="00BB2EB8" w:rsidP="00BB2EB8">
      <w:pPr>
        <w:numPr>
          <w:ilvl w:val="0"/>
          <w:numId w:val="2"/>
        </w:numPr>
        <w:tabs>
          <w:tab w:val="left" w:pos="1515"/>
        </w:tabs>
      </w:pPr>
      <w:r w:rsidRPr="00BB2EB8">
        <w:t>Uncertainty quantification hooks for operational credibility</w:t>
      </w:r>
    </w:p>
    <w:p w14:paraId="0642F52D" w14:textId="77777777" w:rsidR="00BB2EB8" w:rsidRPr="00BB2EB8" w:rsidRDefault="00BB2EB8" w:rsidP="00BB2EB8">
      <w:pPr>
        <w:tabs>
          <w:tab w:val="left" w:pos="1515"/>
        </w:tabs>
      </w:pPr>
    </w:p>
    <w:p w14:paraId="03DC055F" w14:textId="48C98671" w:rsidR="00BB2EB8" w:rsidRDefault="00BB2EB8" w:rsidP="00BB2EB8">
      <w:pPr>
        <w:tabs>
          <w:tab w:val="left" w:pos="1515"/>
        </w:tabs>
      </w:pPr>
      <w:r w:rsidRPr="00BB2EB8">
        <w:rPr>
          <w:b/>
          <w:bCs/>
        </w:rPr>
        <w:t xml:space="preserve">Objective </w:t>
      </w:r>
      <w:r w:rsidR="0060778E">
        <w:rPr>
          <w:b/>
          <w:bCs/>
        </w:rPr>
        <w:t>E</w:t>
      </w:r>
      <w:r w:rsidRPr="00BB2EB8">
        <w:rPr>
          <w:b/>
          <w:bCs/>
        </w:rPr>
        <w:t xml:space="preserve"> — ROM Deployment and Operations Integration</w:t>
      </w:r>
      <w:r w:rsidRPr="00BB2EB8">
        <w:t xml:space="preserve"> Deliver production-oriented tooling that packages ROMs for use in operational contexts: containerized services, APIs, and dashboards that integrate with facility data streams. The emphasis is on robust runtime behavior (latency bounds, fallback modes), traceability (model versioning), and defensible uncertainty reporting.</w:t>
      </w:r>
    </w:p>
    <w:p w14:paraId="79D48A8B" w14:textId="77777777" w:rsidR="00BB2EB8" w:rsidRPr="00BB2EB8" w:rsidRDefault="00BB2EB8" w:rsidP="00BB2EB8">
      <w:pPr>
        <w:tabs>
          <w:tab w:val="left" w:pos="1515"/>
        </w:tabs>
      </w:pPr>
    </w:p>
    <w:p w14:paraId="2AC6C689" w14:textId="4BC718BF" w:rsidR="00BB2EB8" w:rsidRPr="00BB2EB8" w:rsidRDefault="00BB2EB8" w:rsidP="00BB2EB8">
      <w:pPr>
        <w:tabs>
          <w:tab w:val="left" w:pos="1515"/>
        </w:tabs>
      </w:pPr>
      <w:r w:rsidRPr="00BB2EB8">
        <w:rPr>
          <w:b/>
          <w:bCs/>
        </w:rPr>
        <w:t xml:space="preserve">Objective </w:t>
      </w:r>
      <w:r w:rsidR="0060778E">
        <w:rPr>
          <w:b/>
          <w:bCs/>
        </w:rPr>
        <w:t>F</w:t>
      </w:r>
      <w:r w:rsidRPr="00BB2EB8">
        <w:rPr>
          <w:b/>
          <w:bCs/>
        </w:rPr>
        <w:t xml:space="preserve"> — Automation Across the DT Lifecycle</w:t>
      </w:r>
      <w:r w:rsidRPr="00BB2EB8">
        <w:t xml:space="preserve"> Automate as much of the pipeline as feasible: data ingestion → semantic registration → HiFi workflow execution → ROM training → validation → deployment → continuous update. The guiding principle is to reduce DT development time from months to weeks (and ultimately days), enabling rapid iteration and broader adoption.</w:t>
      </w:r>
    </w:p>
    <w:p w14:paraId="3C828BC0" w14:textId="77777777" w:rsidR="00BB2EB8" w:rsidRDefault="00BB2EB8" w:rsidP="00583FC9">
      <w:pPr>
        <w:tabs>
          <w:tab w:val="left" w:pos="1515"/>
        </w:tabs>
      </w:pPr>
    </w:p>
    <w:p w14:paraId="02FF8A8A" w14:textId="013D83BB" w:rsidR="00BB2EB8" w:rsidRDefault="00BB2EB8" w:rsidP="00583FC9">
      <w:pPr>
        <w:tabs>
          <w:tab w:val="left" w:pos="1515"/>
        </w:tabs>
      </w:pPr>
      <w:r>
        <w:rPr>
          <w:u w:val="single"/>
        </w:rPr>
        <w:t>Collaboration &amp; Roles</w:t>
      </w:r>
    </w:p>
    <w:p w14:paraId="218F1E48" w14:textId="77777777" w:rsidR="00BB2EB8" w:rsidRDefault="00BB2EB8" w:rsidP="00583FC9">
      <w:pPr>
        <w:tabs>
          <w:tab w:val="left" w:pos="1515"/>
        </w:tabs>
      </w:pPr>
    </w:p>
    <w:p w14:paraId="0616E383" w14:textId="54C49DF9" w:rsidR="0031080B" w:rsidRPr="0031080B" w:rsidRDefault="00BB2EB8" w:rsidP="0031080B">
      <w:pPr>
        <w:tabs>
          <w:tab w:val="left" w:pos="1515"/>
        </w:tabs>
      </w:pPr>
      <w:r>
        <w:t>University of Texas</w:t>
      </w:r>
      <w:r w:rsidR="0031080B">
        <w:t xml:space="preserve"> (Lead)</w:t>
      </w:r>
      <w:r>
        <w:t xml:space="preserve">: </w:t>
      </w:r>
      <w:r w:rsidR="0031080B" w:rsidRPr="0031080B">
        <w:t>Build the core open-source DT framework and tools; integrate end-to-end pipeline; lead ROM/ML and HiFi workflow automation.</w:t>
      </w:r>
    </w:p>
    <w:p w14:paraId="11AA5904" w14:textId="3722D9C7" w:rsidR="00BB2EB8" w:rsidRDefault="00BB2EB8" w:rsidP="00583FC9">
      <w:pPr>
        <w:tabs>
          <w:tab w:val="left" w:pos="1515"/>
        </w:tabs>
      </w:pPr>
    </w:p>
    <w:p w14:paraId="5E6C17B5" w14:textId="578B5213" w:rsidR="0031080B" w:rsidRPr="0031080B" w:rsidRDefault="0031080B" w:rsidP="0031080B">
      <w:pPr>
        <w:tabs>
          <w:tab w:val="left" w:pos="1515"/>
        </w:tabs>
      </w:pPr>
      <w:r>
        <w:lastRenderedPageBreak/>
        <w:t xml:space="preserve">INL: </w:t>
      </w:r>
      <w:r w:rsidRPr="0031080B">
        <w:t>Provide expertise, oversight, and governance—especially around DeepLynx Nexus ontology/semantic integration; ensure rigor, reproducibility, and community-facing sustainability</w:t>
      </w:r>
      <w:r>
        <w:t>.</w:t>
      </w:r>
    </w:p>
    <w:p w14:paraId="0096643B" w14:textId="73D6605B" w:rsidR="00BB2EB8" w:rsidRDefault="00BB2EB8" w:rsidP="00583FC9">
      <w:pPr>
        <w:tabs>
          <w:tab w:val="left" w:pos="1515"/>
        </w:tabs>
      </w:pPr>
    </w:p>
    <w:p w14:paraId="7B9C3F79" w14:textId="50FD12C6" w:rsidR="0031080B" w:rsidRPr="0031080B" w:rsidRDefault="00BB2EB8" w:rsidP="0031080B">
      <w:pPr>
        <w:tabs>
          <w:tab w:val="left" w:pos="1515"/>
        </w:tabs>
      </w:pPr>
      <w:r>
        <w:t xml:space="preserve">University of Utah: </w:t>
      </w:r>
      <w:r w:rsidR="0031080B">
        <w:t>Lead</w:t>
      </w:r>
      <w:r w:rsidR="0031080B" w:rsidRPr="0031080B">
        <w:t xml:space="preserve"> multi-site deployment and cross-site benchmarking to demonstrate repeatable digital twin instantiation beyond the lead site.</w:t>
      </w:r>
    </w:p>
    <w:sectPr w:rsidR="0031080B" w:rsidRPr="0031080B"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532A9"/>
    <w:multiLevelType w:val="hybridMultilevel"/>
    <w:tmpl w:val="44D4EEDA"/>
    <w:lvl w:ilvl="0" w:tplc="B40CD56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0448E2"/>
    <w:multiLevelType w:val="multilevel"/>
    <w:tmpl w:val="9EE6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5052125">
    <w:abstractNumId w:val="0"/>
  </w:num>
  <w:num w:numId="2" w16cid:durableId="2019382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D0B55"/>
    <w:rsid w:val="002F5C35"/>
    <w:rsid w:val="00306BA7"/>
    <w:rsid w:val="0031080B"/>
    <w:rsid w:val="00583FC9"/>
    <w:rsid w:val="00595036"/>
    <w:rsid w:val="0060778E"/>
    <w:rsid w:val="006504FD"/>
    <w:rsid w:val="008D720A"/>
    <w:rsid w:val="009A2490"/>
    <w:rsid w:val="00BB2EB8"/>
    <w:rsid w:val="00D1010D"/>
    <w:rsid w:val="00E20764"/>
    <w:rsid w:val="00EE6E42"/>
    <w:rsid w:val="5715B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24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725</Words>
  <Characters>4814</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7</cp:revision>
  <dcterms:created xsi:type="dcterms:W3CDTF">2018-02-09T21:34:00Z</dcterms:created>
  <dcterms:modified xsi:type="dcterms:W3CDTF">2026-01-07T15:06:00Z</dcterms:modified>
</cp:coreProperties>
</file>