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7620F" w14:textId="364A5FD3" w:rsidR="00C9317D" w:rsidRPr="000D0B55" w:rsidRDefault="00C9317D" w:rsidP="00C9317D">
      <w:pPr>
        <w:rPr>
          <w:b/>
          <w:bCs/>
        </w:rPr>
      </w:pPr>
      <w:r w:rsidRPr="000D0B55">
        <w:rPr>
          <w:b/>
          <w:bCs/>
        </w:rPr>
        <w:t>Topic Area:</w:t>
      </w:r>
      <w:r w:rsidR="006C6096">
        <w:rPr>
          <w:b/>
          <w:bCs/>
        </w:rPr>
        <w:t xml:space="preserve"> 11 Licensing, Safety, and Security</w:t>
      </w:r>
    </w:p>
    <w:p w14:paraId="04E9BDC8" w14:textId="77777777" w:rsidR="00C9317D" w:rsidRDefault="00C9317D" w:rsidP="00C9317D">
      <w:r w:rsidRPr="000D0B55">
        <w:rPr>
          <w:b/>
          <w:bCs/>
        </w:rPr>
        <w:t>PI:</w:t>
      </w:r>
      <w:r>
        <w:t xml:space="preserve"> TBD:</w:t>
      </w:r>
    </w:p>
    <w:p w14:paraId="16225D74" w14:textId="77777777" w:rsidR="00C9317D" w:rsidRPr="000D0B55" w:rsidRDefault="00C9317D" w:rsidP="00C9317D">
      <w:r w:rsidRPr="000D0B55">
        <w:rPr>
          <w:b/>
          <w:bCs/>
        </w:rPr>
        <w:t>Collaborators:</w:t>
      </w:r>
    </w:p>
    <w:p w14:paraId="3F67DCAB" w14:textId="77777777" w:rsidR="00C9317D" w:rsidRDefault="00C9317D" w:rsidP="00C9317D"/>
    <w:p w14:paraId="0E896870" w14:textId="77777777" w:rsidR="00C9317D" w:rsidRDefault="00C9317D" w:rsidP="00C9317D">
      <w:pPr>
        <w:rPr>
          <w:u w:val="single"/>
        </w:rPr>
      </w:pPr>
      <w:r w:rsidRPr="000D0B55">
        <w:rPr>
          <w:u w:val="single"/>
        </w:rPr>
        <w:t>Overview</w:t>
      </w:r>
    </w:p>
    <w:p w14:paraId="48783BC5" w14:textId="77777777" w:rsidR="00C9317D" w:rsidRDefault="00C9317D" w:rsidP="00C9317D"/>
    <w:p w14:paraId="6B6FD9C2" w14:textId="77777777" w:rsidR="001126CE" w:rsidRDefault="001126CE" w:rsidP="001126CE">
      <w:r w:rsidRPr="001126CE">
        <w:t xml:space="preserve">Accurate </w:t>
      </w:r>
      <w:r w:rsidRPr="001126CE">
        <w:rPr>
          <w:b/>
          <w:bCs/>
        </w:rPr>
        <w:t xml:space="preserve">fuel </w:t>
      </w:r>
      <w:proofErr w:type="spellStart"/>
      <w:r w:rsidRPr="001126CE">
        <w:rPr>
          <w:b/>
          <w:bCs/>
        </w:rPr>
        <w:t>isotopics</w:t>
      </w:r>
      <w:proofErr w:type="spellEnd"/>
      <w:r w:rsidRPr="001126CE">
        <w:rPr>
          <w:b/>
          <w:bCs/>
        </w:rPr>
        <w:t xml:space="preserve"> accountancy</w:t>
      </w:r>
      <w:r w:rsidRPr="001126CE">
        <w:t xml:space="preserve"> underpins multiple high-consequence needs across the nuclear enterprise: </w:t>
      </w:r>
      <w:r w:rsidRPr="001126CE">
        <w:rPr>
          <w:b/>
          <w:bCs/>
        </w:rPr>
        <w:t>fuel cycle planning</w:t>
      </w:r>
      <w:r w:rsidRPr="001126CE">
        <w:t xml:space="preserve"> (reload strategy, reactivity margin management), </w:t>
      </w:r>
      <w:r w:rsidRPr="001126CE">
        <w:rPr>
          <w:b/>
          <w:bCs/>
        </w:rPr>
        <w:t>waste characterization and management</w:t>
      </w:r>
      <w:r w:rsidRPr="001126CE">
        <w:t xml:space="preserve"> (source term, decay heat, disposal pathway decisions), and </w:t>
      </w:r>
      <w:r w:rsidRPr="001126CE">
        <w:rPr>
          <w:b/>
          <w:bCs/>
        </w:rPr>
        <w:t>nonproliferation/safeguards</w:t>
      </w:r>
      <w:r w:rsidRPr="001126CE">
        <w:t xml:space="preserve"> (material accountancy and diversion monitoring). Yet, the two dominant approaches to determining isotopic inventories each carry major limitations:</w:t>
      </w:r>
    </w:p>
    <w:p w14:paraId="74DD6C07" w14:textId="77777777" w:rsidR="001126CE" w:rsidRPr="001126CE" w:rsidRDefault="001126CE" w:rsidP="001126CE"/>
    <w:p w14:paraId="3D01CC68" w14:textId="77777777" w:rsidR="001126CE" w:rsidRPr="001126CE" w:rsidRDefault="001126CE" w:rsidP="001126CE">
      <w:pPr>
        <w:numPr>
          <w:ilvl w:val="0"/>
          <w:numId w:val="2"/>
        </w:numPr>
      </w:pPr>
      <w:r w:rsidRPr="001126CE">
        <w:rPr>
          <w:b/>
          <w:bCs/>
        </w:rPr>
        <w:t>Post-irradiation examination (PIE)</w:t>
      </w:r>
      <w:r w:rsidRPr="001126CE">
        <w:t xml:space="preserve"> can provide high-fidelity isotopic measurements but is expensive, logistically constrained, and typically feasible for only a limited number of samples.</w:t>
      </w:r>
    </w:p>
    <w:p w14:paraId="090B7F09" w14:textId="15E8DA14" w:rsidR="001126CE" w:rsidRPr="001126CE" w:rsidRDefault="001126CE" w:rsidP="001126CE">
      <w:pPr>
        <w:numPr>
          <w:ilvl w:val="0"/>
          <w:numId w:val="2"/>
        </w:numPr>
      </w:pPr>
      <w:r w:rsidRPr="001126CE">
        <w:rPr>
          <w:b/>
          <w:bCs/>
        </w:rPr>
        <w:t>Forward depletion simulations</w:t>
      </w:r>
      <w:r w:rsidRPr="001126CE">
        <w:t xml:space="preserve"> (given initial loadings and operational history) are more practical at scale but can accumulate errors due to </w:t>
      </w:r>
      <w:r w:rsidRPr="001126CE">
        <w:rPr>
          <w:b/>
          <w:bCs/>
        </w:rPr>
        <w:t>model bias</w:t>
      </w:r>
      <w:r w:rsidRPr="001126CE">
        <w:t>, uncertain inputs, and incomplete representation of operational realities.</w:t>
      </w:r>
    </w:p>
    <w:p w14:paraId="3AEADAD6" w14:textId="77777777" w:rsidR="001126CE" w:rsidRDefault="001126CE" w:rsidP="00C9317D"/>
    <w:p w14:paraId="2FA4EFEC" w14:textId="77777777" w:rsidR="001126CE" w:rsidRDefault="001126CE" w:rsidP="001126CE">
      <w:r w:rsidRPr="001126CE">
        <w:t xml:space="preserve">At the same time, modern reactors produce a wealth of </w:t>
      </w:r>
      <w:r w:rsidRPr="001126CE">
        <w:rPr>
          <w:b/>
          <w:bCs/>
        </w:rPr>
        <w:t>high-frequency operational data</w:t>
      </w:r>
      <w:r w:rsidRPr="001126CE">
        <w:t xml:space="preserve">—power history, control rod positions, detector responses, temperatures, and other instrumentation streams. With advances in </w:t>
      </w:r>
      <w:r w:rsidRPr="001126CE">
        <w:rPr>
          <w:b/>
          <w:bCs/>
        </w:rPr>
        <w:t>AI/ML</w:t>
      </w:r>
      <w:r w:rsidRPr="001126CE">
        <w:t xml:space="preserve"> and </w:t>
      </w:r>
      <w:r w:rsidRPr="001126CE">
        <w:rPr>
          <w:b/>
          <w:bCs/>
        </w:rPr>
        <w:t>physics-informed inference</w:t>
      </w:r>
      <w:r w:rsidRPr="001126CE">
        <w:t>, the field is poised to extract significantly more information from these routine data streams than has historically been possible.</w:t>
      </w:r>
    </w:p>
    <w:p w14:paraId="5D6C5ACD" w14:textId="77777777" w:rsidR="001126CE" w:rsidRPr="001126CE" w:rsidRDefault="001126CE" w:rsidP="001126CE"/>
    <w:p w14:paraId="65950062" w14:textId="77777777" w:rsidR="001126CE" w:rsidRPr="001126CE" w:rsidRDefault="001126CE" w:rsidP="001126CE">
      <w:r w:rsidRPr="001126CE">
        <w:rPr>
          <w:b/>
          <w:bCs/>
        </w:rPr>
        <w:t xml:space="preserve">This project will explore and demonstrate methods to infer fuel </w:t>
      </w:r>
      <w:proofErr w:type="spellStart"/>
      <w:r w:rsidRPr="001126CE">
        <w:rPr>
          <w:b/>
          <w:bCs/>
        </w:rPr>
        <w:t>isotopics</w:t>
      </w:r>
      <w:proofErr w:type="spellEnd"/>
      <w:r w:rsidRPr="001126CE">
        <w:rPr>
          <w:b/>
          <w:bCs/>
        </w:rPr>
        <w:t xml:space="preserve"> and/or burnup from online measurements</w:t>
      </w:r>
      <w:r w:rsidRPr="001126CE">
        <w:t xml:space="preserve">, combining physics-based simulation with machine learning–driven inverse modeling. The work culminates in a </w:t>
      </w:r>
      <w:r w:rsidRPr="001126CE">
        <w:rPr>
          <w:b/>
          <w:bCs/>
        </w:rPr>
        <w:t>UT TRIGA demonstration</w:t>
      </w:r>
      <w:r w:rsidRPr="001126CE">
        <w:t xml:space="preserve"> that estimates the isotopic state of a selected fuel rod and evaluates predictive validity using </w:t>
      </w:r>
      <w:r w:rsidRPr="001126CE">
        <w:rPr>
          <w:b/>
          <w:bCs/>
        </w:rPr>
        <w:t>gamma spectroscopy during shutdown</w:t>
      </w:r>
      <w:r w:rsidRPr="001126CE">
        <w:t>.</w:t>
      </w:r>
    </w:p>
    <w:p w14:paraId="79DBB8EF" w14:textId="77777777" w:rsidR="001126CE" w:rsidRDefault="001126CE" w:rsidP="00C9317D"/>
    <w:p w14:paraId="657656F2" w14:textId="06E7B672" w:rsidR="001126CE" w:rsidRDefault="00A90A39" w:rsidP="00C9317D">
      <w:r w:rsidRPr="00A90A39">
        <w:t xml:space="preserve">We will develop and evaluate an inversion framework for inferring fuel </w:t>
      </w:r>
      <w:proofErr w:type="spellStart"/>
      <w:r w:rsidRPr="00A90A39">
        <w:t>isotopics</w:t>
      </w:r>
      <w:proofErr w:type="spellEnd"/>
      <w:r w:rsidRPr="00A90A39">
        <w:t xml:space="preserve"> (or reduced isotopic descriptors) and/or burnup using only online-like measurements collected under controlled, non-depleting reactor perturbations. The approach begins with a 2D pin-cell toy model representing a fuel element at a known burnup state. We then execute a designed set of reactor perturbations that change measurable neutronic responses without adding additional burnup (i.e., </w:t>
      </w:r>
      <w:proofErr w:type="spellStart"/>
      <w:r w:rsidRPr="00A90A39">
        <w:t>isotopics</w:t>
      </w:r>
      <w:proofErr w:type="spellEnd"/>
      <w:r w:rsidRPr="00A90A39">
        <w:t xml:space="preserve"> are held fixed during the perturbation suite). The resulting response data are used to (1) identify which measurements carry information about isotopic state, (2) identify which perturbations maximize identifiability, and (3) compare candidate inversion methods (sensitivity-based, Gaussian-process/Bayesian search, and active probing via RL-style experiment design).</w:t>
      </w:r>
    </w:p>
    <w:p w14:paraId="681C56B0" w14:textId="2898B7E4" w:rsidR="00A90A39" w:rsidRDefault="00A90A39">
      <w:r>
        <w:br w:type="page"/>
      </w:r>
    </w:p>
    <w:p w14:paraId="0CC22806" w14:textId="193F85BF" w:rsidR="00A90A39" w:rsidRPr="00A90A39" w:rsidRDefault="0002271E" w:rsidP="00A90A39">
      <w:r>
        <w:lastRenderedPageBreak/>
        <w:t xml:space="preserve">The results of this toy-model assessment would then be scaled up to an application on the TRIGA reactor where we would attempt to guess the </w:t>
      </w:r>
      <w:proofErr w:type="spellStart"/>
      <w:r>
        <w:t>isotopics</w:t>
      </w:r>
      <w:proofErr w:type="spellEnd"/>
      <w:r>
        <w:t xml:space="preserve"> of one or more rods.  We could further assess accuracy of these predictions by comparison of forward predictions using said </w:t>
      </w:r>
      <w:proofErr w:type="spellStart"/>
      <w:r>
        <w:t>isotopics</w:t>
      </w:r>
      <w:proofErr w:type="spellEnd"/>
      <w:r>
        <w:t xml:space="preserve"> against future core states (i.e. with burnup) as well as by gamma spectroscopy.</w:t>
      </w:r>
    </w:p>
    <w:p w14:paraId="05D374A8" w14:textId="0F861DEA" w:rsidR="001126CE" w:rsidRDefault="001126CE" w:rsidP="00A90A39"/>
    <w:p w14:paraId="35529E90" w14:textId="5E4AE5C3" w:rsidR="00A90A39" w:rsidRDefault="00EB60DC" w:rsidP="00A90A39">
      <w:r w:rsidRPr="00EB60DC">
        <w:t xml:space="preserve">The toy-model study will inform a scaled demonstration on the UT TRIGA in which we infer the isotopic state (and/or burnup) of one or more selected fuel elements from online measurements and designed perturbations. We will validate the inferred </w:t>
      </w:r>
      <w:proofErr w:type="spellStart"/>
      <w:r w:rsidRPr="00EB60DC">
        <w:t>isotopics</w:t>
      </w:r>
      <w:proofErr w:type="spellEnd"/>
      <w:r w:rsidRPr="00EB60DC">
        <w:t xml:space="preserve"> in two complementary ways: (</w:t>
      </w:r>
      <w:proofErr w:type="spellStart"/>
      <w:r w:rsidRPr="00EB60DC">
        <w:t>i</w:t>
      </w:r>
      <w:proofErr w:type="spellEnd"/>
      <w:r w:rsidRPr="00EB60DC">
        <w:t>) by assessing their predictive consistency as the core continues to operate and burnup progresses (i.e., forward prediction of subsequent core observables), and (ii) by comparing predicted inventories against shutdown gamma-spectroscopy signatures for the selected elements.</w:t>
      </w:r>
    </w:p>
    <w:sectPr w:rsidR="00A90A39" w:rsidSect="00EE6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A5D32"/>
    <w:multiLevelType w:val="multilevel"/>
    <w:tmpl w:val="2B023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F07165D"/>
    <w:multiLevelType w:val="hybridMultilevel"/>
    <w:tmpl w:val="CFCEA516"/>
    <w:lvl w:ilvl="0" w:tplc="D66A403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776229"/>
    <w:multiLevelType w:val="multilevel"/>
    <w:tmpl w:val="252A0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9971055">
    <w:abstractNumId w:val="1"/>
  </w:num>
  <w:num w:numId="2" w16cid:durableId="1259216114">
    <w:abstractNumId w:val="2"/>
  </w:num>
  <w:num w:numId="3" w16cid:durableId="1116556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2271E"/>
    <w:rsid w:val="001126CE"/>
    <w:rsid w:val="006C6096"/>
    <w:rsid w:val="00A443B6"/>
    <w:rsid w:val="00A90A39"/>
    <w:rsid w:val="00C9317D"/>
    <w:rsid w:val="00D1010D"/>
    <w:rsid w:val="00D2604A"/>
    <w:rsid w:val="00E20764"/>
    <w:rsid w:val="00E42287"/>
    <w:rsid w:val="00EB60DC"/>
    <w:rsid w:val="00EE44E7"/>
    <w:rsid w:val="00EE6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44E7"/>
    <w:pPr>
      <w:ind w:left="720"/>
      <w:contextualSpacing/>
    </w:pPr>
  </w:style>
  <w:style w:type="paragraph" w:styleId="NormalWeb">
    <w:name w:val="Normal (Web)"/>
    <w:basedOn w:val="Normal"/>
    <w:uiPriority w:val="99"/>
    <w:semiHidden/>
    <w:unhideWhenUsed/>
    <w:rsid w:val="00A90A39"/>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469</Words>
  <Characters>3008</Characters>
  <Application>Microsoft Office Word</Application>
  <DocSecurity>0</DocSecurity>
  <Lines>54</Lines>
  <Paragraphs>12</Paragraphs>
  <ScaleCrop>false</ScaleCrop>
  <HeadingPairs>
    <vt:vector size="2" baseType="variant">
      <vt:variant>
        <vt:lpstr>Title</vt:lpstr>
      </vt:variant>
      <vt:variant>
        <vt:i4>1</vt:i4>
      </vt:variant>
    </vt:vector>
  </HeadingPairs>
  <TitlesOfParts>
    <vt:vector size="1" baseType="lpstr">
      <vt:lpstr/>
    </vt:vector>
  </TitlesOfParts>
  <Company>University of Texas at Austin</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Gentry, Cole A</cp:lastModifiedBy>
  <cp:revision>5</cp:revision>
  <dcterms:created xsi:type="dcterms:W3CDTF">2018-02-09T21:34:00Z</dcterms:created>
  <dcterms:modified xsi:type="dcterms:W3CDTF">2026-01-07T15:13:00Z</dcterms:modified>
</cp:coreProperties>
</file>