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pPr>
      <w:r>
        <w:rPr>
          <w:rFonts w:ascii="Calibri" w:cs="Calibri" w:eastAsia="Calibri" w:hAnsi="Calibri"/>
          <w:b/>
          <w:bCs/>
          <w:color w:val="0F3B5C"/>
          <w:sz w:val="44"/>
          <w:szCs w:val="44"/>
        </w:rPr>
        <w:t xml:space="preserve">PipelineForge and SelfHeal</w:t>
      </w:r>
    </w:p>
    <w:p>
      <w:pPr>
        <w:spacing w:after="300"/>
      </w:pPr>
      <w:r>
        <w:rPr>
          <w:rFonts w:ascii="Calibri" w:cs="Calibri" w:eastAsia="Calibri" w:hAnsi="Calibri"/>
          <w:color w:val="5A6B7B"/>
          <w:sz w:val="26"/>
          <w:szCs w:val="26"/>
        </w:rPr>
        <w:t xml:space="preserve">Phased Delivery Plan - Engineering</w:t>
      </w:r>
    </w:p>
    <w:tbl>
      <w:tblPr>
        <w:tblW w:type="dxa" w:w="9800"/>
        <w:tblBorders>
          <w:top w:val="single" w:color="auto" w:sz="4"/>
          <w:left w:val="single" w:color="auto" w:sz="4"/>
          <w:bottom w:val="single" w:color="auto" w:sz="4"/>
          <w:right w:val="single" w:color="auto" w:sz="4"/>
          <w:insideH w:val="single" w:color="auto" w:sz="4"/>
          <w:insideV w:val="single" w:color="auto" w:sz="4"/>
        </w:tblBorders>
      </w:tblPr>
      <w:tblGrid>
        <w:gridCol w:w="2400"/>
        <w:gridCol w:w="7400"/>
      </w:tblGrid>
      <w:tr>
        <w:tc>
          <w:tcPr>
            <w:tcW w:type="dxa" w:w="2400"/>
            <w:tcBorders>
              <w:top w:val="single" w:color="C9D4DC" w:sz="4"/>
              <w:left w:val="single" w:color="C9D4DC" w:sz="4"/>
              <w:bottom w:val="single" w:color="C9D4DC" w:sz="4"/>
              <w:right w:val="single" w:color="C9D4DC" w:sz="4"/>
            </w:tcBorders>
            <w:tcMar>
              <w:top w:type="dxa" w:w="70"/>
              <w:left w:type="dxa" w:w="110"/>
              <w:bottom w:type="dxa" w:w="70"/>
              <w:right w:type="dxa" w:w="110"/>
            </w:tcMar>
          </w:tcPr>
          <w:p>
            <w:r>
              <w:rPr>
                <w:rFonts w:ascii="Calibri" w:cs="Calibri" w:eastAsia="Calibri" w:hAnsi="Calibri"/>
                <w:b/>
                <w:bCs/>
                <w:color w:val="1F2937"/>
                <w:sz w:val="20"/>
                <w:szCs w:val="20"/>
              </w:rPr>
              <w:t xml:space="preserve">Reference</w:t>
            </w:r>
          </w:p>
        </w:tc>
        <w:tc>
          <w:tcPr>
            <w:tcW w:type="dxa" w:w="7400"/>
            <w:tcBorders>
              <w:top w:val="single" w:color="C9D4DC" w:sz="4"/>
              <w:left w:val="single" w:color="C9D4DC" w:sz="4"/>
              <w:bottom w:val="single" w:color="C9D4DC" w:sz="4"/>
              <w:right w:val="single" w:color="C9D4DC" w:sz="4"/>
            </w:tcBorders>
            <w:tcMar>
              <w:top w:type="dxa" w:w="70"/>
              <w:left w:type="dxa" w:w="110"/>
              <w:bottom w:type="dxa" w:w="70"/>
              <w:right w:type="dxa" w:w="110"/>
            </w:tcMar>
          </w:tcPr>
          <w:p>
            <w:r>
              <w:rPr>
                <w:rFonts w:ascii="Calibri" w:cs="Calibri" w:eastAsia="Calibri" w:hAnsi="Calibri"/>
                <w:b w:val="false"/>
                <w:bCs w:val="false"/>
                <w:color w:val="1F2937"/>
                <w:sz w:val="20"/>
                <w:szCs w:val="20"/>
              </w:rPr>
              <w:t xml:space="preserve">PipelineForge Agent - Detailed Requirements Document v1.0 (July 2026); FDS Design Deck - PipelineForge and SelfHeal</w:t>
            </w:r>
          </w:p>
        </w:tc>
      </w:tr>
      <w:tr>
        <w:tc>
          <w:tcPr>
            <w:tcW w:type="dxa" w:w="2400"/>
            <w:tcBorders>
              <w:top w:val="single" w:color="C9D4DC" w:sz="4"/>
              <w:left w:val="single" w:color="C9D4DC" w:sz="4"/>
              <w:bottom w:val="single" w:color="C9D4DC" w:sz="4"/>
              <w:right w:val="single" w:color="C9D4DC" w:sz="4"/>
            </w:tcBorders>
            <w:shd w:fill="EEF3F7" w:val="clear"/>
            <w:tcMar>
              <w:top w:type="dxa" w:w="70"/>
              <w:left w:type="dxa" w:w="110"/>
              <w:bottom w:type="dxa" w:w="70"/>
              <w:right w:type="dxa" w:w="110"/>
            </w:tcMar>
          </w:tcPr>
          <w:p>
            <w:r>
              <w:rPr>
                <w:rFonts w:ascii="Calibri" w:cs="Calibri" w:eastAsia="Calibri" w:hAnsi="Calibri"/>
                <w:b/>
                <w:bCs/>
                <w:color w:val="1F2937"/>
                <w:sz w:val="20"/>
                <w:szCs w:val="20"/>
              </w:rPr>
              <w:t xml:space="preserve">Date</w:t>
            </w:r>
          </w:p>
        </w:tc>
        <w:tc>
          <w:tcPr>
            <w:tcW w:type="dxa" w:w="7400"/>
            <w:tcBorders>
              <w:top w:val="single" w:color="C9D4DC" w:sz="4"/>
              <w:left w:val="single" w:color="C9D4DC" w:sz="4"/>
              <w:bottom w:val="single" w:color="C9D4DC" w:sz="4"/>
              <w:right w:val="single" w:color="C9D4DC" w:sz="4"/>
            </w:tcBorders>
            <w:shd w:fill="EEF3F7" w:val="clear"/>
            <w:tcMar>
              <w:top w:type="dxa" w:w="70"/>
              <w:left w:type="dxa" w:w="110"/>
              <w:bottom w:type="dxa" w:w="70"/>
              <w:right w:type="dxa" w:w="110"/>
            </w:tcMar>
          </w:tcPr>
          <w:p>
            <w:r>
              <w:rPr>
                <w:rFonts w:ascii="Calibri" w:cs="Calibri" w:eastAsia="Calibri" w:hAnsi="Calibri"/>
                <w:b w:val="false"/>
                <w:bCs w:val="false"/>
                <w:color w:val="1F2937"/>
                <w:sz w:val="20"/>
                <w:szCs w:val="20"/>
              </w:rPr>
              <w:t xml:space="preserve">July 2026</w:t>
            </w:r>
          </w:p>
        </w:tc>
      </w:tr>
      <w:tr>
        <w:tc>
          <w:tcPr>
            <w:tcW w:type="dxa" w:w="2400"/>
            <w:tcBorders>
              <w:top w:val="single" w:color="C9D4DC" w:sz="4"/>
              <w:left w:val="single" w:color="C9D4DC" w:sz="4"/>
              <w:bottom w:val="single" w:color="C9D4DC" w:sz="4"/>
              <w:right w:val="single" w:color="C9D4DC" w:sz="4"/>
            </w:tcBorders>
            <w:tcMar>
              <w:top w:type="dxa" w:w="70"/>
              <w:left w:type="dxa" w:w="110"/>
              <w:bottom w:type="dxa" w:w="70"/>
              <w:right w:type="dxa" w:w="110"/>
            </w:tcMar>
          </w:tcPr>
          <w:p>
            <w:r>
              <w:rPr>
                <w:rFonts w:ascii="Calibri" w:cs="Calibri" w:eastAsia="Calibri" w:hAnsi="Calibri"/>
                <w:b/>
                <w:bCs/>
                <w:color w:val="1F2937"/>
                <w:sz w:val="20"/>
                <w:szCs w:val="20"/>
              </w:rPr>
              <w:t xml:space="preserve">Status</w:t>
            </w:r>
          </w:p>
        </w:tc>
        <w:tc>
          <w:tcPr>
            <w:tcW w:type="dxa" w:w="7400"/>
            <w:tcBorders>
              <w:top w:val="single" w:color="C9D4DC" w:sz="4"/>
              <w:left w:val="single" w:color="C9D4DC" w:sz="4"/>
              <w:bottom w:val="single" w:color="C9D4DC" w:sz="4"/>
              <w:right w:val="single" w:color="C9D4DC" w:sz="4"/>
            </w:tcBorders>
            <w:tcMar>
              <w:top w:type="dxa" w:w="70"/>
              <w:left w:type="dxa" w:w="110"/>
              <w:bottom w:type="dxa" w:w="70"/>
              <w:right w:type="dxa" w:w="110"/>
            </w:tcMar>
          </w:tcPr>
          <w:p>
            <w:r>
              <w:rPr>
                <w:rFonts w:ascii="Calibri" w:cs="Calibri" w:eastAsia="Calibri" w:hAnsi="Calibri"/>
                <w:b w:val="false"/>
                <w:bCs w:val="false"/>
                <w:color w:val="1F2937"/>
                <w:sz w:val="20"/>
                <w:szCs w:val="20"/>
              </w:rPr>
              <w:t xml:space="preserve">For internal review</w:t>
            </w:r>
          </w:p>
        </w:tc>
      </w:tr>
    </w:tbl>
    <w:p>
      <w:pPr>
        <w:spacing w:after="120" w:line="276"/>
      </w:pPr>
      <w:r>
        <w:rPr>
          <w:rFonts w:ascii="Calibri" w:cs="Calibri" w:eastAsia="Calibri" w:hAnsi="Calibri"/>
          <w:color w:val="1F2937"/>
          <w:sz w:val="21"/>
          <w:szCs w:val="21"/>
        </w:rPr>
        <w:t xml:space="preserve"> </w:t>
      </w:r>
    </w:p>
    <w:p>
      <w:pPr>
        <w:pStyle w:val="Heading1"/>
        <w:spacing w:after="160" w:before="320"/>
      </w:pPr>
      <w:r>
        <w:rPr>
          <w:rFonts w:ascii="Calibri" w:cs="Calibri" w:eastAsia="Calibri" w:hAnsi="Calibri"/>
          <w:b/>
          <w:bCs/>
          <w:color w:val="0F3B5C"/>
          <w:sz w:val="30"/>
          <w:szCs w:val="30"/>
        </w:rPr>
        <w:t xml:space="preserve">1.  Delivery Phases at a Glance</w:t>
      </w:r>
    </w:p>
    <w:p>
      <w:pPr>
        <w:spacing w:after="120" w:line="276"/>
      </w:pPr>
      <w:r>
        <w:rPr>
          <w:rFonts w:ascii="Calibri" w:cs="Calibri" w:eastAsia="Calibri" w:hAnsi="Calibri"/>
          <w:color w:val="1F2937"/>
          <w:sz w:val="21"/>
          <w:szCs w:val="21"/>
        </w:rPr>
        <w:t xml:space="preserve">The programme is delivered in eight phases, sequenced by dependency: each phase builds on proven output from the one before. Durations are deliberately not stated in this draft. Effort and calendar estimates will be produced after the Phase 0 inputs are received and the team is confirmed. References in brackets point to requirement IDs and sections of the PipelineForge Agent Detailed Requirements Document v1.0.</w:t>
      </w:r>
    </w:p>
    <w:tbl>
      <w:tblPr>
        <w:tblW w:type="dxa" w:w="9800"/>
        <w:tblBorders>
          <w:top w:val="single" w:color="auto" w:sz="4"/>
          <w:left w:val="single" w:color="auto" w:sz="4"/>
          <w:bottom w:val="single" w:color="auto" w:sz="4"/>
          <w:right w:val="single" w:color="auto" w:sz="4"/>
          <w:insideH w:val="single" w:color="auto" w:sz="4"/>
          <w:insideV w:val="single" w:color="auto" w:sz="4"/>
        </w:tblBorders>
      </w:tblPr>
      <w:tblGrid>
        <w:gridCol w:w="900"/>
        <w:gridCol w:w="3100"/>
        <w:gridCol w:w="5800"/>
      </w:tblGrid>
      <w:tr>
        <w:trPr>
          <w:tblHeader/>
        </w:trPr>
        <w:tc>
          <w:tcPr>
            <w:tcW w:type="dxa" w:w="900"/>
            <w:tcBorders>
              <w:top w:val="single" w:color="C9D4DC" w:sz="4"/>
              <w:left w:val="single" w:color="C9D4DC" w:sz="4"/>
              <w:bottom w:val="single" w:color="C9D4DC" w:sz="4"/>
              <w:right w:val="single" w:color="C9D4DC" w:sz="4"/>
            </w:tcBorders>
            <w:shd w:fill="0F3B5C" w:val="clear"/>
            <w:tcMar>
              <w:top w:type="dxa" w:w="80"/>
              <w:left w:type="dxa" w:w="110"/>
              <w:bottom w:type="dxa" w:w="80"/>
              <w:right w:type="dxa" w:w="110"/>
            </w:tcMar>
          </w:tcPr>
          <w:p>
            <w:r>
              <w:rPr>
                <w:rFonts w:ascii="Calibri" w:cs="Calibri" w:eastAsia="Calibri" w:hAnsi="Calibri"/>
                <w:b/>
                <w:bCs/>
                <w:color w:val="FFFFFF"/>
                <w:sz w:val="20"/>
                <w:szCs w:val="20"/>
              </w:rPr>
              <w:t xml:space="preserve">Phase</w:t>
            </w:r>
          </w:p>
        </w:tc>
        <w:tc>
          <w:tcPr>
            <w:tcW w:type="dxa" w:w="3100"/>
            <w:tcBorders>
              <w:top w:val="single" w:color="C9D4DC" w:sz="4"/>
              <w:left w:val="single" w:color="C9D4DC" w:sz="4"/>
              <w:bottom w:val="single" w:color="C9D4DC" w:sz="4"/>
              <w:right w:val="single" w:color="C9D4DC" w:sz="4"/>
            </w:tcBorders>
            <w:shd w:fill="0F3B5C" w:val="clear"/>
            <w:tcMar>
              <w:top w:type="dxa" w:w="80"/>
              <w:left w:type="dxa" w:w="110"/>
              <w:bottom w:type="dxa" w:w="80"/>
              <w:right w:type="dxa" w:w="110"/>
            </w:tcMar>
          </w:tcPr>
          <w:p>
            <w:r>
              <w:rPr>
                <w:rFonts w:ascii="Calibri" w:cs="Calibri" w:eastAsia="Calibri" w:hAnsi="Calibri"/>
                <w:b/>
                <w:bCs/>
                <w:color w:val="FFFFFF"/>
                <w:sz w:val="20"/>
                <w:szCs w:val="20"/>
              </w:rPr>
              <w:t xml:space="preserve">Focus</w:t>
            </w:r>
          </w:p>
        </w:tc>
        <w:tc>
          <w:tcPr>
            <w:tcW w:type="dxa" w:w="5800"/>
            <w:tcBorders>
              <w:top w:val="single" w:color="C9D4DC" w:sz="4"/>
              <w:left w:val="single" w:color="C9D4DC" w:sz="4"/>
              <w:bottom w:val="single" w:color="C9D4DC" w:sz="4"/>
              <w:right w:val="single" w:color="C9D4DC" w:sz="4"/>
            </w:tcBorders>
            <w:shd w:fill="0F3B5C" w:val="clear"/>
            <w:tcMar>
              <w:top w:type="dxa" w:w="80"/>
              <w:left w:type="dxa" w:w="110"/>
              <w:bottom w:type="dxa" w:w="80"/>
              <w:right w:type="dxa" w:w="110"/>
            </w:tcMar>
          </w:tcPr>
          <w:p>
            <w:r>
              <w:rPr>
                <w:rFonts w:ascii="Calibri" w:cs="Calibri" w:eastAsia="Calibri" w:hAnsi="Calibri"/>
                <w:b/>
                <w:bCs/>
                <w:color w:val="FFFFFF"/>
                <w:sz w:val="20"/>
                <w:szCs w:val="20"/>
              </w:rPr>
              <w:t xml:space="preserve">Requirements covered</w:t>
            </w:r>
          </w:p>
        </w:tc>
      </w:tr>
      <w:tr>
        <w:tc>
          <w:tcPr>
            <w:tcW w:type="dxa" w:w="900"/>
            <w:tcBorders>
              <w:top w:val="single" w:color="C9D4DC" w:sz="4"/>
              <w:left w:val="single" w:color="C9D4DC" w:sz="4"/>
              <w:bottom w:val="single" w:color="C9D4DC" w:sz="4"/>
              <w:right w:val="single" w:color="C9D4DC" w:sz="4"/>
            </w:tcBorders>
            <w:tcMar>
              <w:top w:type="dxa" w:w="70"/>
              <w:left w:type="dxa" w:w="110"/>
              <w:bottom w:type="dxa" w:w="70"/>
              <w:right w:type="dxa" w:w="110"/>
            </w:tcMar>
          </w:tcPr>
          <w:p>
            <w:r>
              <w:rPr>
                <w:rFonts w:ascii="Calibri" w:cs="Calibri" w:eastAsia="Calibri" w:hAnsi="Calibri"/>
                <w:b/>
                <w:bCs/>
                <w:color w:val="1F2937"/>
                <w:sz w:val="20"/>
                <w:szCs w:val="20"/>
              </w:rPr>
              <w:t xml:space="preserve">0</w:t>
            </w:r>
          </w:p>
        </w:tc>
        <w:tc>
          <w:tcPr>
            <w:tcW w:type="dxa" w:w="3100"/>
            <w:tcBorders>
              <w:top w:val="single" w:color="C9D4DC" w:sz="4"/>
              <w:left w:val="single" w:color="C9D4DC" w:sz="4"/>
              <w:bottom w:val="single" w:color="C9D4DC" w:sz="4"/>
              <w:right w:val="single" w:color="C9D4DC" w:sz="4"/>
            </w:tcBorders>
            <w:tcMar>
              <w:top w:type="dxa" w:w="70"/>
              <w:left w:type="dxa" w:w="110"/>
              <w:bottom w:type="dxa" w:w="70"/>
              <w:right w:type="dxa" w:w="110"/>
            </w:tcMar>
          </w:tcPr>
          <w:p>
            <w:r>
              <w:rPr>
                <w:rFonts w:ascii="Calibri" w:cs="Calibri" w:eastAsia="Calibri" w:hAnsi="Calibri"/>
                <w:b w:val="false"/>
                <w:bCs w:val="false"/>
                <w:color w:val="1F2937"/>
                <w:sz w:val="20"/>
                <w:szCs w:val="20"/>
              </w:rPr>
              <w:t xml:space="preserve">Knowledge transfer and readiness</w:t>
            </w:r>
          </w:p>
        </w:tc>
        <w:tc>
          <w:tcPr>
            <w:tcW w:type="dxa" w:w="5800"/>
            <w:tcBorders>
              <w:top w:val="single" w:color="C9D4DC" w:sz="4"/>
              <w:left w:val="single" w:color="C9D4DC" w:sz="4"/>
              <w:bottom w:val="single" w:color="C9D4DC" w:sz="4"/>
              <w:right w:val="single" w:color="C9D4DC" w:sz="4"/>
            </w:tcBorders>
            <w:tcMar>
              <w:top w:type="dxa" w:w="70"/>
              <w:left w:type="dxa" w:w="110"/>
              <w:bottom w:type="dxa" w:w="70"/>
              <w:right w:type="dxa" w:w="110"/>
            </w:tcMar>
          </w:tcPr>
          <w:p>
            <w:pPr>
              <w:spacing w:after="50" w:line="252"/>
              <w:ind w:left="160" w:hanging="160"/>
            </w:pPr>
            <w:r>
              <w:rPr>
                <w:rFonts w:ascii="Calibri" w:cs="Calibri" w:eastAsia="Calibri" w:hAnsi="Calibri"/>
                <w:b w:val="false"/>
                <w:bCs w:val="false"/>
                <w:color w:val="1F2937"/>
                <w:sz w:val="20"/>
                <w:szCs w:val="20"/>
              </w:rPr>
              <w:t xml:space="preserve">–  Confirm the platform, vault, Git and catalogue assumptions actually hold</w:t>
            </w:r>
            <w:r>
              <w:rPr>
                <w:rFonts w:ascii="Calibri" w:cs="Calibri" w:eastAsia="Calibri" w:hAnsi="Calibri"/>
                <w:color w:val="5A6B7B"/>
                <w:sz w:val="19"/>
                <w:szCs w:val="19"/>
              </w:rPr>
              <w:t xml:space="preserve">  (Sec 12.1, Sec 12.2)</w:t>
            </w:r>
          </w:p>
          <w:p>
            <w:pPr>
              <w:spacing w:after="50" w:line="252"/>
              <w:ind w:left="160" w:hanging="160"/>
            </w:pPr>
            <w:r>
              <w:rPr>
                <w:rFonts w:ascii="Calibri" w:cs="Calibri" w:eastAsia="Calibri" w:hAnsi="Calibri"/>
                <w:b w:val="false"/>
                <w:bCs w:val="false"/>
                <w:color w:val="1F2937"/>
                <w:sz w:val="20"/>
                <w:szCs w:val="20"/>
              </w:rPr>
              <w:t xml:space="preserve">–  Confirm in writing whether the approved template library exists</w:t>
            </w:r>
            <w:r>
              <w:rPr>
                <w:rFonts w:ascii="Calibri" w:cs="Calibri" w:eastAsia="Calibri" w:hAnsi="Calibri"/>
                <w:color w:val="5A6B7B"/>
                <w:sz w:val="19"/>
                <w:szCs w:val="19"/>
              </w:rPr>
              <w:t xml:space="preserve">  (FR-02.2)</w:t>
            </w:r>
          </w:p>
          <w:p>
            <w:pPr>
              <w:spacing w:after="50" w:line="252"/>
              <w:ind w:left="160" w:hanging="160"/>
            </w:pPr>
            <w:r>
              <w:rPr>
                <w:rFonts w:ascii="Calibri" w:cs="Calibri" w:eastAsia="Calibri" w:hAnsi="Calibri"/>
                <w:b w:val="false"/>
                <w:bCs w:val="false"/>
                <w:color w:val="1F2937"/>
                <w:sz w:val="20"/>
                <w:szCs w:val="20"/>
              </w:rPr>
              <w:t xml:space="preserve">–  Obtain written responses to the 21 open review comments</w:t>
            </w:r>
          </w:p>
          <w:p>
            <w:pPr>
              <w:spacing w:after="0" w:line="252"/>
              <w:ind w:left="160" w:hanging="160"/>
            </w:pPr>
            <w:r>
              <w:rPr>
                <w:rFonts w:ascii="Calibri" w:cs="Calibri" w:eastAsia="Calibri" w:hAnsi="Calibri"/>
                <w:b w:val="false"/>
                <w:bCs w:val="false"/>
                <w:color w:val="1F2937"/>
                <w:sz w:val="20"/>
                <w:szCs w:val="20"/>
              </w:rPr>
              <w:t xml:space="preserve">–  Demo, code access and infrastructure walkthrough from the current owners</w:t>
            </w:r>
          </w:p>
        </w:tc>
      </w:tr>
      <w:tr>
        <w:tc>
          <w:tcPr>
            <w:tcW w:type="dxa" w:w="900"/>
            <w:tcBorders>
              <w:top w:val="single" w:color="C9D4DC" w:sz="4"/>
              <w:left w:val="single" w:color="C9D4DC" w:sz="4"/>
              <w:bottom w:val="single" w:color="C9D4DC" w:sz="4"/>
              <w:right w:val="single" w:color="C9D4DC" w:sz="4"/>
            </w:tcBorders>
            <w:shd w:fill="EEF3F7" w:val="clear"/>
            <w:tcMar>
              <w:top w:type="dxa" w:w="70"/>
              <w:left w:type="dxa" w:w="110"/>
              <w:bottom w:type="dxa" w:w="70"/>
              <w:right w:type="dxa" w:w="110"/>
            </w:tcMar>
          </w:tcPr>
          <w:p>
            <w:r>
              <w:rPr>
                <w:rFonts w:ascii="Calibri" w:cs="Calibri" w:eastAsia="Calibri" w:hAnsi="Calibri"/>
                <w:b/>
                <w:bCs/>
                <w:color w:val="1F2937"/>
                <w:sz w:val="20"/>
                <w:szCs w:val="20"/>
              </w:rPr>
              <w:t xml:space="preserve">1</w:t>
            </w:r>
          </w:p>
        </w:tc>
        <w:tc>
          <w:tcPr>
            <w:tcW w:type="dxa" w:w="3100"/>
            <w:tcBorders>
              <w:top w:val="single" w:color="C9D4DC" w:sz="4"/>
              <w:left w:val="single" w:color="C9D4DC" w:sz="4"/>
              <w:bottom w:val="single" w:color="C9D4DC" w:sz="4"/>
              <w:right w:val="single" w:color="C9D4DC" w:sz="4"/>
            </w:tcBorders>
            <w:shd w:fill="EEF3F7" w:val="clear"/>
            <w:tcMar>
              <w:top w:type="dxa" w:w="70"/>
              <w:left w:type="dxa" w:w="110"/>
              <w:bottom w:type="dxa" w:w="70"/>
              <w:right w:type="dxa" w:w="110"/>
            </w:tcMar>
          </w:tcPr>
          <w:p>
            <w:r>
              <w:rPr>
                <w:rFonts w:ascii="Calibri" w:cs="Calibri" w:eastAsia="Calibri" w:hAnsi="Calibri"/>
                <w:b w:val="false"/>
                <w:bCs w:val="false"/>
                <w:color w:val="1F2937"/>
                <w:sz w:val="20"/>
                <w:szCs w:val="20"/>
              </w:rPr>
              <w:t xml:space="preserve">Foundation and reference pipeline</w:t>
            </w:r>
          </w:p>
        </w:tc>
        <w:tc>
          <w:tcPr>
            <w:tcW w:type="dxa" w:w="5800"/>
            <w:tcBorders>
              <w:top w:val="single" w:color="C9D4DC" w:sz="4"/>
              <w:left w:val="single" w:color="C9D4DC" w:sz="4"/>
              <w:bottom w:val="single" w:color="C9D4DC" w:sz="4"/>
              <w:right w:val="single" w:color="C9D4DC" w:sz="4"/>
            </w:tcBorders>
            <w:shd w:fill="EEF3F7" w:val="clear"/>
            <w:tcMar>
              <w:top w:type="dxa" w:w="70"/>
              <w:left w:type="dxa" w:w="110"/>
              <w:bottom w:type="dxa" w:w="70"/>
              <w:right w:type="dxa" w:w="110"/>
            </w:tcMar>
          </w:tcPr>
          <w:p>
            <w:pPr>
              <w:spacing w:after="50" w:line="252"/>
              <w:ind w:left="160" w:hanging="160"/>
            </w:pPr>
            <w:r>
              <w:rPr>
                <w:rFonts w:ascii="Calibri" w:cs="Calibri" w:eastAsia="Calibri" w:hAnsi="Calibri"/>
                <w:b w:val="false"/>
                <w:bCs w:val="false"/>
                <w:color w:val="1F2937"/>
                <w:sz w:val="20"/>
                <w:szCs w:val="20"/>
              </w:rPr>
              <w:t xml:space="preserve">–  Bronze landing built as raw, immutable, with full audit columns</w:t>
            </w:r>
            <w:r>
              <w:rPr>
                <w:rFonts w:ascii="Calibri" w:cs="Calibri" w:eastAsia="Calibri" w:hAnsi="Calibri"/>
                <w:color w:val="5A6B7B"/>
                <w:sz w:val="19"/>
                <w:szCs w:val="19"/>
              </w:rPr>
              <w:t xml:space="preserve">  (FR-02.4)</w:t>
            </w:r>
          </w:p>
          <w:p>
            <w:pPr>
              <w:spacing w:after="50" w:line="252"/>
              <w:ind w:left="160" w:hanging="160"/>
            </w:pPr>
            <w:r>
              <w:rPr>
                <w:rFonts w:ascii="Calibri" w:cs="Calibri" w:eastAsia="Calibri" w:hAnsi="Calibri"/>
                <w:b w:val="false"/>
                <w:bCs w:val="false"/>
                <w:color w:val="1F2937"/>
                <w:sz w:val="20"/>
                <w:szCs w:val="20"/>
              </w:rPr>
              <w:t xml:space="preserve">–  CURATE logic: type casting, standardisation, deduplication, quality checks</w:t>
            </w:r>
            <w:r>
              <w:rPr>
                <w:rFonts w:ascii="Calibri" w:cs="Calibri" w:eastAsia="Calibri" w:hAnsi="Calibri"/>
                <w:color w:val="5A6B7B"/>
                <w:sz w:val="19"/>
                <w:szCs w:val="19"/>
              </w:rPr>
              <w:t xml:space="preserve">  (FR-02.5)</w:t>
            </w:r>
          </w:p>
          <w:p>
            <w:pPr>
              <w:spacing w:after="50" w:line="252"/>
              <w:ind w:left="160" w:hanging="160"/>
            </w:pPr>
            <w:r>
              <w:rPr>
                <w:rFonts w:ascii="Calibri" w:cs="Calibri" w:eastAsia="Calibri" w:hAnsi="Calibri"/>
                <w:b w:val="false"/>
                <w:bCs w:val="false"/>
                <w:color w:val="1F2937"/>
                <w:sz w:val="20"/>
                <w:szCs w:val="20"/>
              </w:rPr>
              <w:t xml:space="preserve">–  Incremental loads that are safely repeatable with no duplicates</w:t>
            </w:r>
            <w:r>
              <w:rPr>
                <w:rFonts w:ascii="Calibri" w:cs="Calibri" w:eastAsia="Calibri" w:hAnsi="Calibri"/>
                <w:color w:val="5A6B7B"/>
                <w:sz w:val="19"/>
                <w:szCs w:val="19"/>
              </w:rPr>
              <w:t xml:space="preserve">  (FR-03.1, FR-03.2, NFR-04)</w:t>
            </w:r>
          </w:p>
          <w:p>
            <w:pPr>
              <w:spacing w:after="0" w:line="252"/>
              <w:ind w:left="160" w:hanging="160"/>
            </w:pPr>
            <w:r>
              <w:rPr>
                <w:rFonts w:ascii="Calibri" w:cs="Calibri" w:eastAsia="Calibri" w:hAnsi="Calibri"/>
                <w:b w:val="false"/>
                <w:bCs w:val="false"/>
                <w:color w:val="1F2937"/>
                <w:sz w:val="20"/>
                <w:szCs w:val="20"/>
              </w:rPr>
              <w:t xml:space="preserve">–  Naming standard defined and applied across all layers</w:t>
            </w:r>
            <w:r>
              <w:rPr>
                <w:rFonts w:ascii="Calibri" w:cs="Calibri" w:eastAsia="Calibri" w:hAnsi="Calibri"/>
                <w:color w:val="5A6B7B"/>
                <w:sz w:val="19"/>
                <w:szCs w:val="19"/>
              </w:rPr>
              <w:t xml:space="preserve">  (FR-02.3)</w:t>
            </w:r>
          </w:p>
        </w:tc>
      </w:tr>
      <w:tr>
        <w:tc>
          <w:tcPr>
            <w:tcW w:type="dxa" w:w="900"/>
            <w:tcBorders>
              <w:top w:val="single" w:color="C9D4DC" w:sz="4"/>
              <w:left w:val="single" w:color="C9D4DC" w:sz="4"/>
              <w:bottom w:val="single" w:color="C9D4DC" w:sz="4"/>
              <w:right w:val="single" w:color="C9D4DC" w:sz="4"/>
            </w:tcBorders>
            <w:tcMar>
              <w:top w:type="dxa" w:w="70"/>
              <w:left w:type="dxa" w:w="110"/>
              <w:bottom w:type="dxa" w:w="70"/>
              <w:right w:type="dxa" w:w="110"/>
            </w:tcMar>
          </w:tcPr>
          <w:p>
            <w:r>
              <w:rPr>
                <w:rFonts w:ascii="Calibri" w:cs="Calibri" w:eastAsia="Calibri" w:hAnsi="Calibri"/>
                <w:b/>
                <w:bCs/>
                <w:color w:val="1F2937"/>
                <w:sz w:val="20"/>
                <w:szCs w:val="20"/>
              </w:rPr>
              <w:t xml:space="preserve">2</w:t>
            </w:r>
          </w:p>
        </w:tc>
        <w:tc>
          <w:tcPr>
            <w:tcW w:type="dxa" w:w="3100"/>
            <w:tcBorders>
              <w:top w:val="single" w:color="C9D4DC" w:sz="4"/>
              <w:left w:val="single" w:color="C9D4DC" w:sz="4"/>
              <w:bottom w:val="single" w:color="C9D4DC" w:sz="4"/>
              <w:right w:val="single" w:color="C9D4DC" w:sz="4"/>
            </w:tcBorders>
            <w:tcMar>
              <w:top w:type="dxa" w:w="70"/>
              <w:left w:type="dxa" w:w="110"/>
              <w:bottom w:type="dxa" w:w="70"/>
              <w:right w:type="dxa" w:w="110"/>
            </w:tcMar>
          </w:tcPr>
          <w:p>
            <w:r>
              <w:rPr>
                <w:rFonts w:ascii="Calibri" w:cs="Calibri" w:eastAsia="Calibri" w:hAnsi="Calibri"/>
                <w:b w:val="false"/>
                <w:bCs w:val="false"/>
                <w:color w:val="1F2937"/>
                <w:sz w:val="20"/>
                <w:szCs w:val="20"/>
              </w:rPr>
              <w:t xml:space="preserve">Metadata-driven pipeline factory</w:t>
            </w:r>
          </w:p>
        </w:tc>
        <w:tc>
          <w:tcPr>
            <w:tcW w:type="dxa" w:w="5800"/>
            <w:tcBorders>
              <w:top w:val="single" w:color="C9D4DC" w:sz="4"/>
              <w:left w:val="single" w:color="C9D4DC" w:sz="4"/>
              <w:bottom w:val="single" w:color="C9D4DC" w:sz="4"/>
              <w:right w:val="single" w:color="C9D4DC" w:sz="4"/>
            </w:tcBorders>
            <w:tcMar>
              <w:top w:type="dxa" w:w="70"/>
              <w:left w:type="dxa" w:w="110"/>
              <w:bottom w:type="dxa" w:w="70"/>
              <w:right w:type="dxa" w:w="110"/>
            </w:tcMar>
          </w:tcPr>
          <w:p>
            <w:pPr>
              <w:spacing w:after="50" w:line="252"/>
              <w:ind w:left="160" w:hanging="160"/>
            </w:pPr>
            <w:r>
              <w:rPr>
                <w:rFonts w:ascii="Calibri" w:cs="Calibri" w:eastAsia="Calibri" w:hAnsi="Calibri"/>
                <w:b w:val="false"/>
                <w:bCs w:val="false"/>
                <w:color w:val="1F2937"/>
                <w:sz w:val="20"/>
                <w:szCs w:val="20"/>
              </w:rPr>
              <w:t xml:space="preserve">–  Complete pipelines generated from configuration, with no hand-written code</w:t>
            </w:r>
            <w:r>
              <w:rPr>
                <w:rFonts w:ascii="Calibri" w:cs="Calibri" w:eastAsia="Calibri" w:hAnsi="Calibri"/>
                <w:color w:val="5A6B7B"/>
                <w:sz w:val="19"/>
                <w:szCs w:val="19"/>
              </w:rPr>
              <w:t xml:space="preserve">  (FR-02.1)</w:t>
            </w:r>
          </w:p>
          <w:p>
            <w:pPr>
              <w:spacing w:after="50" w:line="252"/>
              <w:ind w:left="160" w:hanging="160"/>
            </w:pPr>
            <w:r>
              <w:rPr>
                <w:rFonts w:ascii="Calibri" w:cs="Calibri" w:eastAsia="Calibri" w:hAnsi="Calibri"/>
                <w:b w:val="false"/>
                <w:bCs w:val="false"/>
                <w:color w:val="1F2937"/>
                <w:sz w:val="20"/>
                <w:szCs w:val="20"/>
              </w:rPr>
              <w:t xml:space="preserve">–  Generation constrained to version-controlled, approved templates</w:t>
            </w:r>
            <w:r>
              <w:rPr>
                <w:rFonts w:ascii="Calibri" w:cs="Calibri" w:eastAsia="Calibri" w:hAnsi="Calibri"/>
                <w:color w:val="5A6B7B"/>
                <w:sz w:val="19"/>
                <w:szCs w:val="19"/>
              </w:rPr>
              <w:t xml:space="preserve">  (FR-02.2)</w:t>
            </w:r>
          </w:p>
          <w:p>
            <w:pPr>
              <w:spacing w:after="50" w:line="252"/>
              <w:ind w:left="160" w:hanging="160"/>
            </w:pPr>
            <w:r>
              <w:rPr>
                <w:rFonts w:ascii="Calibri" w:cs="Calibri" w:eastAsia="Calibri" w:hAnsi="Calibri"/>
                <w:b w:val="false"/>
                <w:bCs w:val="false"/>
                <w:color w:val="1F2937"/>
                <w:sz w:val="20"/>
                <w:szCs w:val="20"/>
              </w:rPr>
              <w:t xml:space="preserve">–  Every generated pipeline committed to Git as a reviewable pull request</w:t>
            </w:r>
            <w:r>
              <w:rPr>
                <w:rFonts w:ascii="Calibri" w:cs="Calibri" w:eastAsia="Calibri" w:hAnsi="Calibri"/>
                <w:color w:val="5A6B7B"/>
                <w:sz w:val="19"/>
                <w:szCs w:val="19"/>
              </w:rPr>
              <w:t xml:space="preserve">  (FR-02.7)</w:t>
            </w:r>
          </w:p>
          <w:p>
            <w:pPr>
              <w:spacing w:after="50" w:line="252"/>
              <w:ind w:left="160" w:hanging="160"/>
            </w:pPr>
            <w:r>
              <w:rPr>
                <w:rFonts w:ascii="Calibri" w:cs="Calibri" w:eastAsia="Calibri" w:hAnsi="Calibri"/>
                <w:b w:val="false"/>
                <w:bCs w:val="false"/>
                <w:color w:val="1F2937"/>
                <w:sz w:val="20"/>
                <w:szCs w:val="20"/>
              </w:rPr>
              <w:t xml:space="preserve">–  Baseline quality rules, quarantine store and per-run scorecards</w:t>
            </w:r>
            <w:r>
              <w:rPr>
                <w:rFonts w:ascii="Calibri" w:cs="Calibri" w:eastAsia="Calibri" w:hAnsi="Calibri"/>
                <w:color w:val="5A6B7B"/>
                <w:sz w:val="19"/>
                <w:szCs w:val="19"/>
              </w:rPr>
              <w:t xml:space="preserve">  (FR-04.1, FR-04.3, FR-04.4)</w:t>
            </w:r>
          </w:p>
          <w:p>
            <w:pPr>
              <w:spacing w:after="50" w:line="252"/>
              <w:ind w:left="160" w:hanging="160"/>
            </w:pPr>
            <w:r>
              <w:rPr>
                <w:rFonts w:ascii="Calibri" w:cs="Calibri" w:eastAsia="Calibri" w:hAnsi="Calibri"/>
                <w:b w:val="false"/>
                <w:bCs w:val="false"/>
                <w:color w:val="1F2937"/>
                <w:sz w:val="20"/>
                <w:szCs w:val="20"/>
              </w:rPr>
              <w:t xml:space="preserve">–  Sandbox validation of rows, types and idempotency before promotion</w:t>
            </w:r>
            <w:r>
              <w:rPr>
                <w:rFonts w:ascii="Calibri" w:cs="Calibri" w:eastAsia="Calibri" w:hAnsi="Calibri"/>
                <w:color w:val="5A6B7B"/>
                <w:sz w:val="19"/>
                <w:szCs w:val="19"/>
              </w:rPr>
              <w:t xml:space="preserve">  (AC-03, AC-05)</w:t>
            </w:r>
          </w:p>
          <w:p>
            <w:pPr>
              <w:spacing w:after="0" w:line="252"/>
              <w:ind w:left="160" w:hanging="160"/>
            </w:pPr>
            <w:r>
              <w:rPr>
                <w:rFonts w:ascii="Calibri" w:cs="Calibri" w:eastAsia="Calibri" w:hAnsi="Calibri"/>
                <w:b w:val="false"/>
                <w:bCs w:val="false"/>
                <w:color w:val="1F2937"/>
                <w:sz w:val="20"/>
                <w:szCs w:val="20"/>
              </w:rPr>
              <w:t xml:space="preserve">–  Core REST API operations: request, run, status</w:t>
            </w:r>
            <w:r>
              <w:rPr>
                <w:rFonts w:ascii="Calibri" w:cs="Calibri" w:eastAsia="Calibri" w:hAnsi="Calibri"/>
                <w:color w:val="5A6B7B"/>
                <w:sz w:val="19"/>
                <w:szCs w:val="19"/>
              </w:rPr>
              <w:t xml:space="preserve">  (FR-08.1 partial)</w:t>
            </w:r>
          </w:p>
        </w:tc>
      </w:tr>
      <w:tr>
        <w:tc>
          <w:tcPr>
            <w:tcW w:type="dxa" w:w="900"/>
            <w:tcBorders>
              <w:top w:val="single" w:color="C9D4DC" w:sz="4"/>
              <w:left w:val="single" w:color="C9D4DC" w:sz="4"/>
              <w:bottom w:val="single" w:color="C9D4DC" w:sz="4"/>
              <w:right w:val="single" w:color="C9D4DC" w:sz="4"/>
            </w:tcBorders>
            <w:shd w:fill="EEF3F7" w:val="clear"/>
            <w:tcMar>
              <w:top w:type="dxa" w:w="70"/>
              <w:left w:type="dxa" w:w="110"/>
              <w:bottom w:type="dxa" w:w="70"/>
              <w:right w:type="dxa" w:w="110"/>
            </w:tcMar>
          </w:tcPr>
          <w:p>
            <w:r>
              <w:rPr>
                <w:rFonts w:ascii="Calibri" w:cs="Calibri" w:eastAsia="Calibri" w:hAnsi="Calibri"/>
                <w:b/>
                <w:bCs/>
                <w:color w:val="1F2937"/>
                <w:sz w:val="20"/>
                <w:szCs w:val="20"/>
              </w:rPr>
              <w:t xml:space="preserve">3</w:t>
            </w:r>
          </w:p>
        </w:tc>
        <w:tc>
          <w:tcPr>
            <w:tcW w:type="dxa" w:w="3100"/>
            <w:tcBorders>
              <w:top w:val="single" w:color="C9D4DC" w:sz="4"/>
              <w:left w:val="single" w:color="C9D4DC" w:sz="4"/>
              <w:bottom w:val="single" w:color="C9D4DC" w:sz="4"/>
              <w:right w:val="single" w:color="C9D4DC" w:sz="4"/>
            </w:tcBorders>
            <w:shd w:fill="EEF3F7" w:val="clear"/>
            <w:tcMar>
              <w:top w:type="dxa" w:w="70"/>
              <w:left w:type="dxa" w:w="110"/>
              <w:bottom w:type="dxa" w:w="70"/>
              <w:right w:type="dxa" w:w="110"/>
            </w:tcMar>
          </w:tcPr>
          <w:p>
            <w:r>
              <w:rPr>
                <w:rFonts w:ascii="Calibri" w:cs="Calibri" w:eastAsia="Calibri" w:hAnsi="Calibri"/>
                <w:b w:val="false"/>
                <w:bCs w:val="false"/>
                <w:color w:val="1F2937"/>
                <w:sz w:val="20"/>
                <w:szCs w:val="20"/>
              </w:rPr>
              <w:t xml:space="preserve">AI layer and first production deployment</w:t>
            </w:r>
          </w:p>
        </w:tc>
        <w:tc>
          <w:tcPr>
            <w:tcW w:type="dxa" w:w="5800"/>
            <w:tcBorders>
              <w:top w:val="single" w:color="C9D4DC" w:sz="4"/>
              <w:left w:val="single" w:color="C9D4DC" w:sz="4"/>
              <w:bottom w:val="single" w:color="C9D4DC" w:sz="4"/>
              <w:right w:val="single" w:color="C9D4DC" w:sz="4"/>
            </w:tcBorders>
            <w:shd w:fill="EEF3F7" w:val="clear"/>
            <w:tcMar>
              <w:top w:type="dxa" w:w="70"/>
              <w:left w:type="dxa" w:w="110"/>
              <w:bottom w:type="dxa" w:w="70"/>
              <w:right w:type="dxa" w:w="110"/>
            </w:tcMar>
          </w:tcPr>
          <w:p>
            <w:pPr>
              <w:spacing w:after="50" w:line="252"/>
              <w:ind w:left="160" w:hanging="160"/>
            </w:pPr>
            <w:r>
              <w:rPr>
                <w:rFonts w:ascii="Calibri" w:cs="Calibri" w:eastAsia="Calibri" w:hAnsi="Calibri"/>
                <w:b w:val="false"/>
                <w:bCs w:val="false"/>
                <w:color w:val="1F2937"/>
                <w:sz w:val="20"/>
                <w:szCs w:val="20"/>
              </w:rPr>
              <w:t xml:space="preserve">–  Automated source profiling with a recommended load strategy and rationale</w:t>
            </w:r>
            <w:r>
              <w:rPr>
                <w:rFonts w:ascii="Calibri" w:cs="Calibri" w:eastAsia="Calibri" w:hAnsi="Calibri"/>
                <w:color w:val="5A6B7B"/>
                <w:sz w:val="19"/>
                <w:szCs w:val="19"/>
              </w:rPr>
              <w:t xml:space="preserve">  (FR-01.1 to FR-01.3)</w:t>
            </w:r>
          </w:p>
          <w:p>
            <w:pPr>
              <w:spacing w:after="50" w:line="252"/>
              <w:ind w:left="160" w:hanging="160"/>
            </w:pPr>
            <w:r>
              <w:rPr>
                <w:rFonts w:ascii="Calibri" w:cs="Calibri" w:eastAsia="Calibri" w:hAnsi="Calibri"/>
                <w:b w:val="false"/>
                <w:bCs w:val="false"/>
                <w:color w:val="1F2937"/>
                <w:sz w:val="20"/>
                <w:szCs w:val="20"/>
              </w:rPr>
              <w:t xml:space="preserve">–  Likely PII columns flagged during profiling for steward review</w:t>
            </w:r>
            <w:r>
              <w:rPr>
                <w:rFonts w:ascii="Calibri" w:cs="Calibri" w:eastAsia="Calibri" w:hAnsi="Calibri"/>
                <w:color w:val="5A6B7B"/>
                <w:sz w:val="19"/>
                <w:szCs w:val="19"/>
              </w:rPr>
              <w:t xml:space="preserve">  (FR-01.4)</w:t>
            </w:r>
          </w:p>
          <w:p>
            <w:pPr>
              <w:spacing w:after="50" w:line="252"/>
              <w:ind w:left="160" w:hanging="160"/>
            </w:pPr>
            <w:r>
              <w:rPr>
                <w:rFonts w:ascii="Calibri" w:cs="Calibri" w:eastAsia="Calibri" w:hAnsi="Calibri"/>
                <w:b w:val="false"/>
                <w:bCs w:val="false"/>
                <w:color w:val="1F2937"/>
                <w:sz w:val="20"/>
                <w:szCs w:val="20"/>
              </w:rPr>
              <w:t xml:space="preserve">–  Quality rules added or overridden declaratively, as metadata not code</w:t>
            </w:r>
            <w:r>
              <w:rPr>
                <w:rFonts w:ascii="Calibri" w:cs="Calibri" w:eastAsia="Calibri" w:hAnsi="Calibri"/>
                <w:color w:val="5A6B7B"/>
                <w:sz w:val="19"/>
                <w:szCs w:val="19"/>
              </w:rPr>
              <w:t xml:space="preserve">  (FR-04.2)</w:t>
            </w:r>
          </w:p>
          <w:p>
            <w:pPr>
              <w:spacing w:after="50" w:line="252"/>
              <w:ind w:left="160" w:hanging="160"/>
            </w:pPr>
            <w:r>
              <w:rPr>
                <w:rFonts w:ascii="Calibri" w:cs="Calibri" w:eastAsia="Calibri" w:hAnsi="Calibri"/>
                <w:b w:val="false"/>
                <w:bCs w:val="false"/>
                <w:color w:val="1F2937"/>
                <w:sz w:val="20"/>
                <w:szCs w:val="20"/>
              </w:rPr>
              <w:t xml:space="preserve">–  Human approval enforced before the first production deployment</w:t>
            </w:r>
            <w:r>
              <w:rPr>
                <w:rFonts w:ascii="Calibri" w:cs="Calibri" w:eastAsia="Calibri" w:hAnsi="Calibri"/>
                <w:color w:val="5A6B7B"/>
                <w:sz w:val="19"/>
                <w:szCs w:val="19"/>
              </w:rPr>
              <w:t xml:space="preserve">  (FR-08.3; AC-07)</w:t>
            </w:r>
          </w:p>
          <w:p>
            <w:pPr>
              <w:spacing w:after="50" w:line="252"/>
              <w:ind w:left="160" w:hanging="160"/>
            </w:pPr>
            <w:r>
              <w:rPr>
                <w:rFonts w:ascii="Calibri" w:cs="Calibri" w:eastAsia="Calibri" w:hAnsi="Calibri"/>
                <w:b w:val="false"/>
                <w:bCs w:val="false"/>
                <w:color w:val="1F2937"/>
                <w:sz w:val="20"/>
                <w:szCs w:val="20"/>
              </w:rPr>
              <w:t xml:space="preserve">–  Immutable audit record produced for every run</w:t>
            </w:r>
            <w:r>
              <w:rPr>
                <w:rFonts w:ascii="Calibri" w:cs="Calibri" w:eastAsia="Calibri" w:hAnsi="Calibri"/>
                <w:color w:val="5A6B7B"/>
                <w:sz w:val="19"/>
                <w:szCs w:val="19"/>
              </w:rPr>
              <w:t xml:space="preserve">  (FR-07.2, NFR-07)</w:t>
            </w:r>
          </w:p>
          <w:p>
            <w:pPr>
              <w:spacing w:after="0" w:line="252"/>
              <w:ind w:left="160" w:hanging="160"/>
            </w:pPr>
            <w:r>
              <w:rPr>
                <w:rFonts w:ascii="Calibri" w:cs="Calibri" w:eastAsia="Calibri" w:hAnsi="Calibri"/>
                <w:b w:val="false"/>
                <w:bCs w:val="false"/>
                <w:color w:val="1F2937"/>
                <w:sz w:val="20"/>
                <w:szCs w:val="20"/>
              </w:rPr>
              <w:t xml:space="preserve">–  Source onboarding time target demonstrated on a real source</w:t>
            </w:r>
            <w:r>
              <w:rPr>
                <w:rFonts w:ascii="Calibri" w:cs="Calibri" w:eastAsia="Calibri" w:hAnsi="Calibri"/>
                <w:color w:val="5A6B7B"/>
                <w:sz w:val="19"/>
                <w:szCs w:val="19"/>
              </w:rPr>
              <w:t xml:space="preserve">  (NFR-01; AC-01)</w:t>
            </w:r>
          </w:p>
        </w:tc>
      </w:tr>
      <w:tr>
        <w:tc>
          <w:tcPr>
            <w:tcW w:type="dxa" w:w="900"/>
            <w:tcBorders>
              <w:top w:val="single" w:color="C9D4DC" w:sz="4"/>
              <w:left w:val="single" w:color="C9D4DC" w:sz="4"/>
              <w:bottom w:val="single" w:color="C9D4DC" w:sz="4"/>
              <w:right w:val="single" w:color="C9D4DC" w:sz="4"/>
            </w:tcBorders>
            <w:tcMar>
              <w:top w:type="dxa" w:w="70"/>
              <w:left w:type="dxa" w:w="110"/>
              <w:bottom w:type="dxa" w:w="70"/>
              <w:right w:type="dxa" w:w="110"/>
            </w:tcMar>
          </w:tcPr>
          <w:p>
            <w:r>
              <w:rPr>
                <w:rFonts w:ascii="Calibri" w:cs="Calibri" w:eastAsia="Calibri" w:hAnsi="Calibri"/>
                <w:b/>
                <w:bCs/>
                <w:color w:val="1F2937"/>
                <w:sz w:val="20"/>
                <w:szCs w:val="20"/>
              </w:rPr>
              <w:t xml:space="preserve">4</w:t>
            </w:r>
          </w:p>
        </w:tc>
        <w:tc>
          <w:tcPr>
            <w:tcW w:type="dxa" w:w="3100"/>
            <w:tcBorders>
              <w:top w:val="single" w:color="C9D4DC" w:sz="4"/>
              <w:left w:val="single" w:color="C9D4DC" w:sz="4"/>
              <w:bottom w:val="single" w:color="C9D4DC" w:sz="4"/>
              <w:right w:val="single" w:color="C9D4DC" w:sz="4"/>
            </w:tcBorders>
            <w:tcMar>
              <w:top w:type="dxa" w:w="70"/>
              <w:left w:type="dxa" w:w="110"/>
              <w:bottom w:type="dxa" w:w="70"/>
              <w:right w:type="dxa" w:w="110"/>
            </w:tcMar>
          </w:tcPr>
          <w:p>
            <w:r>
              <w:rPr>
                <w:rFonts w:ascii="Calibri" w:cs="Calibri" w:eastAsia="Calibri" w:hAnsi="Calibri"/>
                <w:b w:val="false"/>
                <w:bCs w:val="false"/>
                <w:color w:val="1F2937"/>
                <w:sz w:val="20"/>
                <w:szCs w:val="20"/>
              </w:rPr>
              <w:t xml:space="preserve">CDC, schema drift and resilience</w:t>
            </w:r>
          </w:p>
        </w:tc>
        <w:tc>
          <w:tcPr>
            <w:tcW w:type="dxa" w:w="5800"/>
            <w:tcBorders>
              <w:top w:val="single" w:color="C9D4DC" w:sz="4"/>
              <w:left w:val="single" w:color="C9D4DC" w:sz="4"/>
              <w:bottom w:val="single" w:color="C9D4DC" w:sz="4"/>
              <w:right w:val="single" w:color="C9D4DC" w:sz="4"/>
            </w:tcBorders>
            <w:tcMar>
              <w:top w:type="dxa" w:w="70"/>
              <w:left w:type="dxa" w:w="110"/>
              <w:bottom w:type="dxa" w:w="70"/>
              <w:right w:type="dxa" w:w="110"/>
            </w:tcMar>
          </w:tcPr>
          <w:p>
            <w:pPr>
              <w:spacing w:after="50" w:line="252"/>
              <w:ind w:left="160" w:hanging="160"/>
            </w:pPr>
            <w:r>
              <w:rPr>
                <w:rFonts w:ascii="Calibri" w:cs="Calibri" w:eastAsia="Calibri" w:hAnsi="Calibri"/>
                <w:b w:val="false"/>
                <w:bCs w:val="false"/>
                <w:color w:val="1F2937"/>
                <w:sz w:val="20"/>
                <w:szCs w:val="20"/>
              </w:rPr>
              <w:t xml:space="preserve">–  Log-based change data capture available as a load strategy</w:t>
            </w:r>
            <w:r>
              <w:rPr>
                <w:rFonts w:ascii="Calibri" w:cs="Calibri" w:eastAsia="Calibri" w:hAnsi="Calibri"/>
                <w:color w:val="5A6B7B"/>
                <w:sz w:val="19"/>
                <w:szCs w:val="19"/>
              </w:rPr>
              <w:t xml:space="preserve">  (FR-03.1)</w:t>
            </w:r>
          </w:p>
          <w:p>
            <w:pPr>
              <w:spacing w:after="50" w:line="252"/>
              <w:ind w:left="160" w:hanging="160"/>
            </w:pPr>
            <w:r>
              <w:rPr>
                <w:rFonts w:ascii="Calibri" w:cs="Calibri" w:eastAsia="Calibri" w:hAnsi="Calibri"/>
                <w:b w:val="false"/>
                <w:bCs w:val="false"/>
                <w:color w:val="1F2937"/>
                <w:sz w:val="20"/>
                <w:szCs w:val="20"/>
              </w:rPr>
              <w:t xml:space="preserve">–  Late-arriving data and on-demand backfill with downstream invalidation</w:t>
            </w:r>
            <w:r>
              <w:rPr>
                <w:rFonts w:ascii="Calibri" w:cs="Calibri" w:eastAsia="Calibri" w:hAnsi="Calibri"/>
                <w:color w:val="5A6B7B"/>
                <w:sz w:val="19"/>
                <w:szCs w:val="19"/>
              </w:rPr>
              <w:t xml:space="preserve">  (FR-03.3, FR-03.4)</w:t>
            </w:r>
          </w:p>
          <w:p>
            <w:pPr>
              <w:spacing w:after="50" w:line="252"/>
              <w:ind w:left="160" w:hanging="160"/>
            </w:pPr>
            <w:r>
              <w:rPr>
                <w:rFonts w:ascii="Calibri" w:cs="Calibri" w:eastAsia="Calibri" w:hAnsi="Calibri"/>
                <w:b w:val="false"/>
                <w:bCs w:val="false"/>
                <w:color w:val="1F2937"/>
                <w:sz w:val="20"/>
                <w:szCs w:val="20"/>
              </w:rPr>
              <w:t xml:space="preserve">–  Schema drift detected and handled by per-source policy</w:t>
            </w:r>
            <w:r>
              <w:rPr>
                <w:rFonts w:ascii="Calibri" w:cs="Calibri" w:eastAsia="Calibri" w:hAnsi="Calibri"/>
                <w:color w:val="5A6B7B"/>
                <w:sz w:val="19"/>
                <w:szCs w:val="19"/>
              </w:rPr>
              <w:t xml:space="preserve">  (FR-05.1 to FR-05.3; AC-04)</w:t>
            </w:r>
          </w:p>
          <w:p>
            <w:pPr>
              <w:spacing w:after="0" w:line="252"/>
              <w:ind w:left="160" w:hanging="160"/>
            </w:pPr>
            <w:r>
              <w:rPr>
                <w:rFonts w:ascii="Calibri" w:cs="Calibri" w:eastAsia="Calibri" w:hAnsi="Calibri"/>
                <w:b w:val="false"/>
                <w:bCs w:val="false"/>
                <w:color w:val="1F2937"/>
                <w:sz w:val="20"/>
                <w:szCs w:val="20"/>
              </w:rPr>
              <w:t xml:space="preserve">–  Failures classified; transient ones recover automatically, the rest escalate with a full diagnosis</w:t>
            </w:r>
            <w:r>
              <w:rPr>
                <w:rFonts w:ascii="Calibri" w:cs="Calibri" w:eastAsia="Calibri" w:hAnsi="Calibri"/>
                <w:color w:val="5A6B7B"/>
                <w:sz w:val="19"/>
                <w:szCs w:val="19"/>
              </w:rPr>
              <w:t xml:space="preserve">  (FR-06.2 to FR-06.4; AC-06)</w:t>
            </w:r>
          </w:p>
        </w:tc>
      </w:tr>
      <w:tr>
        <w:tc>
          <w:tcPr>
            <w:tcW w:type="dxa" w:w="900"/>
            <w:tcBorders>
              <w:top w:val="single" w:color="C9D4DC" w:sz="4"/>
              <w:left w:val="single" w:color="C9D4DC" w:sz="4"/>
              <w:bottom w:val="single" w:color="C9D4DC" w:sz="4"/>
              <w:right w:val="single" w:color="C9D4DC" w:sz="4"/>
            </w:tcBorders>
            <w:shd w:fill="EEF3F7" w:val="clear"/>
            <w:tcMar>
              <w:top w:type="dxa" w:w="70"/>
              <w:left w:type="dxa" w:w="110"/>
              <w:bottom w:type="dxa" w:w="70"/>
              <w:right w:type="dxa" w:w="110"/>
            </w:tcMar>
          </w:tcPr>
          <w:p>
            <w:r>
              <w:rPr>
                <w:rFonts w:ascii="Calibri" w:cs="Calibri" w:eastAsia="Calibri" w:hAnsi="Calibri"/>
                <w:b/>
                <w:bCs/>
                <w:color w:val="1F2937"/>
                <w:sz w:val="20"/>
                <w:szCs w:val="20"/>
              </w:rPr>
              <w:t xml:space="preserve">5</w:t>
            </w:r>
          </w:p>
        </w:tc>
        <w:tc>
          <w:tcPr>
            <w:tcW w:type="dxa" w:w="3100"/>
            <w:tcBorders>
              <w:top w:val="single" w:color="C9D4DC" w:sz="4"/>
              <w:left w:val="single" w:color="C9D4DC" w:sz="4"/>
              <w:bottom w:val="single" w:color="C9D4DC" w:sz="4"/>
              <w:right w:val="single" w:color="C9D4DC" w:sz="4"/>
            </w:tcBorders>
            <w:shd w:fill="EEF3F7" w:val="clear"/>
            <w:tcMar>
              <w:top w:type="dxa" w:w="70"/>
              <w:left w:type="dxa" w:w="110"/>
              <w:bottom w:type="dxa" w:w="70"/>
              <w:right w:type="dxa" w:w="110"/>
            </w:tcMar>
          </w:tcPr>
          <w:p>
            <w:r>
              <w:rPr>
                <w:rFonts w:ascii="Calibri" w:cs="Calibri" w:eastAsia="Calibri" w:hAnsi="Calibri"/>
                <w:b w:val="false"/>
                <w:bCs w:val="false"/>
                <w:color w:val="1F2937"/>
                <w:sz w:val="20"/>
                <w:szCs w:val="20"/>
              </w:rPr>
              <w:t xml:space="preserve">Operations at scale</w:t>
            </w:r>
          </w:p>
        </w:tc>
        <w:tc>
          <w:tcPr>
            <w:tcW w:type="dxa" w:w="5800"/>
            <w:tcBorders>
              <w:top w:val="single" w:color="C9D4DC" w:sz="4"/>
              <w:left w:val="single" w:color="C9D4DC" w:sz="4"/>
              <w:bottom w:val="single" w:color="C9D4DC" w:sz="4"/>
              <w:right w:val="single" w:color="C9D4DC" w:sz="4"/>
            </w:tcBorders>
            <w:shd w:fill="EEF3F7" w:val="clear"/>
            <w:tcMar>
              <w:top w:type="dxa" w:w="70"/>
              <w:left w:type="dxa" w:w="110"/>
              <w:bottom w:type="dxa" w:w="70"/>
              <w:right w:type="dxa" w:w="110"/>
            </w:tcMar>
          </w:tcPr>
          <w:p>
            <w:pPr>
              <w:spacing w:after="50" w:line="252"/>
              <w:ind w:left="160" w:hanging="160"/>
            </w:pPr>
            <w:r>
              <w:rPr>
                <w:rFonts w:ascii="Calibri" w:cs="Calibri" w:eastAsia="Calibri" w:hAnsi="Calibri"/>
                <w:b w:val="false"/>
                <w:bCs w:val="false"/>
                <w:color w:val="1F2937"/>
                <w:sz w:val="20"/>
                <w:szCs w:val="20"/>
              </w:rPr>
              <w:t xml:space="preserve">–  SelfHeal matured: remediation playbooks, escalation reports, incident register</w:t>
            </w:r>
          </w:p>
          <w:p>
            <w:pPr>
              <w:spacing w:after="50" w:line="252"/>
              <w:ind w:left="160" w:hanging="160"/>
            </w:pPr>
            <w:r>
              <w:rPr>
                <w:rFonts w:ascii="Calibri" w:cs="Calibri" w:eastAsia="Calibri" w:hAnsi="Calibri"/>
                <w:b w:val="false"/>
                <w:bCs w:val="false"/>
                <w:color w:val="1F2937"/>
                <w:sz w:val="20"/>
                <w:szCs w:val="20"/>
              </w:rPr>
              <w:t xml:space="preserve">–  SLA adherence tracked with early warning ahead of projected breaches</w:t>
            </w:r>
            <w:r>
              <w:rPr>
                <w:rFonts w:ascii="Calibri" w:cs="Calibri" w:eastAsia="Calibri" w:hAnsi="Calibri"/>
                <w:color w:val="5A6B7B"/>
                <w:sz w:val="19"/>
                <w:szCs w:val="19"/>
              </w:rPr>
              <w:t xml:space="preserve">  (FR-06.5)</w:t>
            </w:r>
          </w:p>
          <w:p>
            <w:pPr>
              <w:spacing w:after="50" w:line="252"/>
              <w:ind w:left="160" w:hanging="160"/>
            </w:pPr>
            <w:r>
              <w:rPr>
                <w:rFonts w:ascii="Calibri" w:cs="Calibri" w:eastAsia="Calibri" w:hAnsi="Calibri"/>
                <w:b w:val="false"/>
                <w:bCs w:val="false"/>
                <w:color w:val="1F2937"/>
                <w:sz w:val="20"/>
                <w:szCs w:val="20"/>
              </w:rPr>
              <w:t xml:space="preserve">–  Column-level lineage registered in the enterprise catalogue</w:t>
            </w:r>
            <w:r>
              <w:rPr>
                <w:rFonts w:ascii="Calibri" w:cs="Calibri" w:eastAsia="Calibri" w:hAnsi="Calibri"/>
                <w:color w:val="5A6B7B"/>
                <w:sz w:val="19"/>
                <w:szCs w:val="19"/>
              </w:rPr>
              <w:t xml:space="preserve">  (FR-07.1; AC-02)</w:t>
            </w:r>
          </w:p>
          <w:p>
            <w:pPr>
              <w:spacing w:after="50" w:line="252"/>
              <w:ind w:left="160" w:hanging="160"/>
            </w:pPr>
            <w:r>
              <w:rPr>
                <w:rFonts w:ascii="Calibri" w:cs="Calibri" w:eastAsia="Calibri" w:hAnsi="Calibri"/>
                <w:b w:val="false"/>
                <w:bCs w:val="false"/>
                <w:color w:val="1F2937"/>
                <w:sz w:val="20"/>
                <w:szCs w:val="20"/>
              </w:rPr>
              <w:t xml:space="preserve">–  Cost attribution on every run with per-pipeline reporting</w:t>
            </w:r>
            <w:r>
              <w:rPr>
                <w:rFonts w:ascii="Calibri" w:cs="Calibri" w:eastAsia="Calibri" w:hAnsi="Calibri"/>
                <w:color w:val="5A6B7B"/>
                <w:sz w:val="19"/>
                <w:szCs w:val="19"/>
              </w:rPr>
              <w:t xml:space="preserve">  (NFR-10)</w:t>
            </w:r>
          </w:p>
          <w:p>
            <w:pPr>
              <w:spacing w:after="0" w:line="252"/>
              <w:ind w:left="160" w:hanging="160"/>
            </w:pPr>
            <w:r>
              <w:rPr>
                <w:rFonts w:ascii="Calibri" w:cs="Calibri" w:eastAsia="Calibri" w:hAnsi="Calibri"/>
                <w:b w:val="false"/>
                <w:bCs w:val="false"/>
                <w:color w:val="1F2937"/>
                <w:sz w:val="20"/>
                <w:szCs w:val="20"/>
              </w:rPr>
              <w:t xml:space="preserve">–  Notifications, weekly digests and ticketing integration</w:t>
            </w:r>
            <w:r>
              <w:rPr>
                <w:rFonts w:ascii="Calibri" w:cs="Calibri" w:eastAsia="Calibri" w:hAnsi="Calibri"/>
                <w:color w:val="5A6B7B"/>
                <w:sz w:val="19"/>
                <w:szCs w:val="19"/>
              </w:rPr>
              <w:t xml:space="preserve">  (Sec 7.4, Sec 11)</w:t>
            </w:r>
          </w:p>
        </w:tc>
      </w:tr>
      <w:tr>
        <w:tc>
          <w:tcPr>
            <w:tcW w:type="dxa" w:w="900"/>
            <w:tcBorders>
              <w:top w:val="single" w:color="C9D4DC" w:sz="4"/>
              <w:left w:val="single" w:color="C9D4DC" w:sz="4"/>
              <w:bottom w:val="single" w:color="C9D4DC" w:sz="4"/>
              <w:right w:val="single" w:color="C9D4DC" w:sz="4"/>
            </w:tcBorders>
            <w:tcMar>
              <w:top w:type="dxa" w:w="70"/>
              <w:left w:type="dxa" w:w="110"/>
              <w:bottom w:type="dxa" w:w="70"/>
              <w:right w:type="dxa" w:w="110"/>
            </w:tcMar>
          </w:tcPr>
          <w:p>
            <w:r>
              <w:rPr>
                <w:rFonts w:ascii="Calibri" w:cs="Calibri" w:eastAsia="Calibri" w:hAnsi="Calibri"/>
                <w:b/>
                <w:bCs/>
                <w:color w:val="1F2937"/>
                <w:sz w:val="20"/>
                <w:szCs w:val="20"/>
              </w:rPr>
              <w:t xml:space="preserve">6</w:t>
            </w:r>
          </w:p>
        </w:tc>
        <w:tc>
          <w:tcPr>
            <w:tcW w:type="dxa" w:w="3100"/>
            <w:tcBorders>
              <w:top w:val="single" w:color="C9D4DC" w:sz="4"/>
              <w:left w:val="single" w:color="C9D4DC" w:sz="4"/>
              <w:bottom w:val="single" w:color="C9D4DC" w:sz="4"/>
              <w:right w:val="single" w:color="C9D4DC" w:sz="4"/>
            </w:tcBorders>
            <w:tcMar>
              <w:top w:type="dxa" w:w="70"/>
              <w:left w:type="dxa" w:w="110"/>
              <w:bottom w:type="dxa" w:w="70"/>
              <w:right w:type="dxa" w:w="110"/>
            </w:tcMar>
          </w:tcPr>
          <w:p>
            <w:r>
              <w:rPr>
                <w:rFonts w:ascii="Calibri" w:cs="Calibri" w:eastAsia="Calibri" w:hAnsi="Calibri"/>
                <w:b w:val="false"/>
                <w:bCs w:val="false"/>
                <w:color w:val="1F2937"/>
                <w:sz w:val="20"/>
                <w:szCs w:val="20"/>
              </w:rPr>
              <w:t xml:space="preserve">Source expansion and conversational interface</w:t>
            </w:r>
          </w:p>
        </w:tc>
        <w:tc>
          <w:tcPr>
            <w:tcW w:type="dxa" w:w="5800"/>
            <w:tcBorders>
              <w:top w:val="single" w:color="C9D4DC" w:sz="4"/>
              <w:left w:val="single" w:color="C9D4DC" w:sz="4"/>
              <w:bottom w:val="single" w:color="C9D4DC" w:sz="4"/>
              <w:right w:val="single" w:color="C9D4DC" w:sz="4"/>
            </w:tcBorders>
            <w:tcMar>
              <w:top w:type="dxa" w:w="70"/>
              <w:left w:type="dxa" w:w="110"/>
              <w:bottom w:type="dxa" w:w="70"/>
              <w:right w:type="dxa" w:w="110"/>
            </w:tcMar>
          </w:tcPr>
          <w:p>
            <w:pPr>
              <w:spacing w:after="50" w:line="252"/>
              <w:ind w:left="160" w:hanging="160"/>
            </w:pPr>
            <w:r>
              <w:rPr>
                <w:rFonts w:ascii="Calibri" w:cs="Calibri" w:eastAsia="Calibri" w:hAnsi="Calibri"/>
                <w:b w:val="false"/>
                <w:bCs w:val="false"/>
                <w:color w:val="1F2937"/>
                <w:sz w:val="20"/>
                <w:szCs w:val="20"/>
              </w:rPr>
              <w:t xml:space="preserve">–  Remaining source types onboarded: SaaS APIs, SFTP, files, message queues</w:t>
            </w:r>
            <w:r>
              <w:rPr>
                <w:rFonts w:ascii="Calibri" w:cs="Calibri" w:eastAsia="Calibri" w:hAnsi="Calibri"/>
                <w:color w:val="5A6B7B"/>
                <w:sz w:val="19"/>
                <w:szCs w:val="19"/>
              </w:rPr>
              <w:t xml:space="preserve">  (Sec 3.1, Sec 6.1)</w:t>
            </w:r>
          </w:p>
          <w:p>
            <w:pPr>
              <w:spacing w:after="50" w:line="252"/>
              <w:ind w:left="160" w:hanging="160"/>
            </w:pPr>
            <w:r>
              <w:rPr>
                <w:rFonts w:ascii="Calibri" w:cs="Calibri" w:eastAsia="Calibri" w:hAnsi="Calibri"/>
                <w:b w:val="false"/>
                <w:bCs w:val="false"/>
                <w:color w:val="1F2937"/>
                <w:sz w:val="20"/>
                <w:szCs w:val="20"/>
              </w:rPr>
              <w:t xml:space="preserve">–  Plain-language requests normalised into the structured request contract</w:t>
            </w:r>
            <w:r>
              <w:rPr>
                <w:rFonts w:ascii="Calibri" w:cs="Calibri" w:eastAsia="Calibri" w:hAnsi="Calibri"/>
                <w:color w:val="5A6B7B"/>
                <w:sz w:val="19"/>
                <w:szCs w:val="19"/>
              </w:rPr>
              <w:t xml:space="preserve">  (FR-08.2)</w:t>
            </w:r>
          </w:p>
          <w:p>
            <w:pPr>
              <w:spacing w:after="0" w:line="252"/>
              <w:ind w:left="160" w:hanging="160"/>
            </w:pPr>
            <w:r>
              <w:rPr>
                <w:rFonts w:ascii="Calibri" w:cs="Calibri" w:eastAsia="Calibri" w:hAnsi="Calibri"/>
                <w:b w:val="false"/>
                <w:bCs w:val="false"/>
                <w:color w:val="1F2937"/>
                <w:sz w:val="20"/>
                <w:szCs w:val="20"/>
              </w:rPr>
              <w:t xml:space="preserve">–  Lineage and impact questions answered through the conversational interface</w:t>
            </w:r>
            <w:r>
              <w:rPr>
                <w:rFonts w:ascii="Calibri" w:cs="Calibri" w:eastAsia="Calibri" w:hAnsi="Calibri"/>
                <w:color w:val="5A6B7B"/>
                <w:sz w:val="19"/>
                <w:szCs w:val="19"/>
              </w:rPr>
              <w:t xml:space="preserve">  (FR-07.3)</w:t>
            </w:r>
          </w:p>
        </w:tc>
      </w:tr>
      <w:tr>
        <w:tc>
          <w:tcPr>
            <w:tcW w:type="dxa" w:w="900"/>
            <w:tcBorders>
              <w:top w:val="single" w:color="C9D4DC" w:sz="4"/>
              <w:left w:val="single" w:color="C9D4DC" w:sz="4"/>
              <w:bottom w:val="single" w:color="C9D4DC" w:sz="4"/>
              <w:right w:val="single" w:color="C9D4DC" w:sz="4"/>
            </w:tcBorders>
            <w:shd w:fill="EEF3F7" w:val="clear"/>
            <w:tcMar>
              <w:top w:type="dxa" w:w="70"/>
              <w:left w:type="dxa" w:w="110"/>
              <w:bottom w:type="dxa" w:w="70"/>
              <w:right w:type="dxa" w:w="110"/>
            </w:tcMar>
          </w:tcPr>
          <w:p>
            <w:r>
              <w:rPr>
                <w:rFonts w:ascii="Calibri" w:cs="Calibri" w:eastAsia="Calibri" w:hAnsi="Calibri"/>
                <w:b/>
                <w:bCs/>
                <w:color w:val="1F2937"/>
                <w:sz w:val="20"/>
                <w:szCs w:val="20"/>
              </w:rPr>
              <w:t xml:space="preserve">7</w:t>
            </w:r>
          </w:p>
        </w:tc>
        <w:tc>
          <w:tcPr>
            <w:tcW w:type="dxa" w:w="3100"/>
            <w:tcBorders>
              <w:top w:val="single" w:color="C9D4DC" w:sz="4"/>
              <w:left w:val="single" w:color="C9D4DC" w:sz="4"/>
              <w:bottom w:val="single" w:color="C9D4DC" w:sz="4"/>
              <w:right w:val="single" w:color="C9D4DC" w:sz="4"/>
            </w:tcBorders>
            <w:shd w:fill="EEF3F7" w:val="clear"/>
            <w:tcMar>
              <w:top w:type="dxa" w:w="70"/>
              <w:left w:type="dxa" w:w="110"/>
              <w:bottom w:type="dxa" w:w="70"/>
              <w:right w:type="dxa" w:w="110"/>
            </w:tcMar>
          </w:tcPr>
          <w:p>
            <w:r>
              <w:rPr>
                <w:rFonts w:ascii="Calibri" w:cs="Calibri" w:eastAsia="Calibri" w:hAnsi="Calibri"/>
                <w:b w:val="false"/>
                <w:bCs w:val="false"/>
                <w:color w:val="1F2937"/>
                <w:sz w:val="20"/>
                <w:szCs w:val="20"/>
              </w:rPr>
              <w:t xml:space="preserve">Second target platform and general availability</w:t>
            </w:r>
          </w:p>
        </w:tc>
        <w:tc>
          <w:tcPr>
            <w:tcW w:type="dxa" w:w="5800"/>
            <w:tcBorders>
              <w:top w:val="single" w:color="C9D4DC" w:sz="4"/>
              <w:left w:val="single" w:color="C9D4DC" w:sz="4"/>
              <w:bottom w:val="single" w:color="C9D4DC" w:sz="4"/>
              <w:right w:val="single" w:color="C9D4DC" w:sz="4"/>
            </w:tcBorders>
            <w:shd w:fill="EEF3F7" w:val="clear"/>
            <w:tcMar>
              <w:top w:type="dxa" w:w="70"/>
              <w:left w:type="dxa" w:w="110"/>
              <w:bottom w:type="dxa" w:w="70"/>
              <w:right w:type="dxa" w:w="110"/>
            </w:tcMar>
          </w:tcPr>
          <w:p>
            <w:pPr>
              <w:spacing w:after="50" w:line="252"/>
              <w:ind w:left="160" w:hanging="160"/>
            </w:pPr>
            <w:r>
              <w:rPr>
                <w:rFonts w:ascii="Calibri" w:cs="Calibri" w:eastAsia="Calibri" w:hAnsi="Calibri"/>
                <w:b w:val="false"/>
                <w:bCs w:val="false"/>
                <w:color w:val="1F2937"/>
                <w:sz w:val="20"/>
                <w:szCs w:val="20"/>
              </w:rPr>
              <w:t xml:space="preserve">–  Same request deploys to a second platform with only the platform value changed</w:t>
            </w:r>
            <w:r>
              <w:rPr>
                <w:rFonts w:ascii="Calibri" w:cs="Calibri" w:eastAsia="Calibri" w:hAnsi="Calibri"/>
                <w:color w:val="5A6B7B"/>
                <w:sz w:val="19"/>
                <w:szCs w:val="19"/>
              </w:rPr>
              <w:t xml:space="preserve">  (NFR-09; AC-08)</w:t>
            </w:r>
          </w:p>
          <w:p>
            <w:pPr>
              <w:spacing w:after="50" w:line="252"/>
              <w:ind w:left="160" w:hanging="160"/>
            </w:pPr>
            <w:r>
              <w:rPr>
                <w:rFonts w:ascii="Calibri" w:cs="Calibri" w:eastAsia="Calibri" w:hAnsi="Calibri"/>
                <w:b w:val="false"/>
                <w:bCs w:val="false"/>
                <w:color w:val="1F2937"/>
                <w:sz w:val="20"/>
                <w:szCs w:val="20"/>
              </w:rPr>
              <w:t xml:space="preserve">–  Throughput and reliability targets demonstrated with evidence</w:t>
            </w:r>
            <w:r>
              <w:rPr>
                <w:rFonts w:ascii="Calibri" w:cs="Calibri" w:eastAsia="Calibri" w:hAnsi="Calibri"/>
                <w:color w:val="5A6B7B"/>
                <w:sz w:val="19"/>
                <w:szCs w:val="19"/>
              </w:rPr>
              <w:t xml:space="preserve">  (NFR-02, NFR-03)</w:t>
            </w:r>
          </w:p>
          <w:p>
            <w:pPr>
              <w:spacing w:after="0" w:line="252"/>
              <w:ind w:left="160" w:hanging="160"/>
            </w:pPr>
            <w:r>
              <w:rPr>
                <w:rFonts w:ascii="Calibri" w:cs="Calibri" w:eastAsia="Calibri" w:hAnsi="Calibri"/>
                <w:b w:val="false"/>
                <w:bCs w:val="false"/>
                <w:color w:val="1F2937"/>
                <w:sz w:val="20"/>
                <w:szCs w:val="20"/>
              </w:rPr>
              <w:t xml:space="preserve">–  Security scanning in the CI gate and least-privilege service principals</w:t>
            </w:r>
            <w:r>
              <w:rPr>
                <w:rFonts w:ascii="Calibri" w:cs="Calibri" w:eastAsia="Calibri" w:hAnsi="Calibri"/>
                <w:color w:val="5A6B7B"/>
                <w:sz w:val="19"/>
                <w:szCs w:val="19"/>
              </w:rPr>
              <w:t xml:space="preserve">  (NFR-05, NFR-06)</w:t>
            </w:r>
          </w:p>
        </w:tc>
      </w:tr>
    </w:tbl>
    <w:p>
      <w:pPr>
        <w:spacing w:after="120" w:line="276"/>
      </w:pPr>
      <w:r>
        <w:rPr>
          <w:rFonts w:ascii="Calibri" w:cs="Calibri" w:eastAsia="Calibri" w:hAnsi="Calibri"/>
          <w:color w:val="1F2937"/>
          <w:sz w:val="21"/>
          <w:szCs w:val="21"/>
        </w:rPr>
        <w:t xml:space="preserve"> </w:t>
      </w:r>
    </w:p>
    <w:p>
      <w:pPr>
        <w:pStyle w:val="Heading1"/>
        <w:spacing w:after="160" w:before="320"/>
      </w:pPr>
      <w:r>
        <w:rPr>
          <w:rFonts w:ascii="Calibri" w:cs="Calibri" w:eastAsia="Calibri" w:hAnsi="Calibri"/>
          <w:b/>
          <w:bCs/>
          <w:color w:val="0F3B5C"/>
          <w:sz w:val="30"/>
          <w:szCs w:val="30"/>
        </w:rPr>
        <w:t xml:space="preserve">2.  Key Milestones</w:t>
      </w:r>
    </w:p>
    <w:p>
      <w:pPr>
        <w:spacing w:after="120" w:line="276"/>
      </w:pPr>
      <w:r>
        <w:rPr>
          <w:rFonts w:ascii="Calibri" w:cs="Calibri" w:eastAsia="Calibri" w:hAnsi="Calibri"/>
          <w:color w:val="1F2937"/>
          <w:sz w:val="21"/>
          <w:szCs w:val="21"/>
        </w:rPr>
        <w:t xml:space="preserve">Milestones mark the points where the programme produces something demonstrable. Each is reached on completion of the phase shown, not on a date.</w:t>
      </w:r>
    </w:p>
    <w:tbl>
      <w:tblPr>
        <w:tblW w:type="dxa" w:w="9800"/>
        <w:tblBorders>
          <w:top w:val="single" w:color="auto" w:sz="4"/>
          <w:left w:val="single" w:color="auto" w:sz="4"/>
          <w:bottom w:val="single" w:color="auto" w:sz="4"/>
          <w:right w:val="single" w:color="auto" w:sz="4"/>
          <w:insideH w:val="single" w:color="auto" w:sz="4"/>
          <w:insideV w:val="single" w:color="auto" w:sz="4"/>
        </w:tblBorders>
      </w:tblPr>
      <w:tblGrid>
        <w:gridCol w:w="1300"/>
        <w:gridCol w:w="1500"/>
        <w:gridCol w:w="7000"/>
      </w:tblGrid>
      <w:tr>
        <w:trPr>
          <w:tblHeader/>
        </w:trPr>
        <w:tc>
          <w:tcPr>
            <w:tcW w:type="dxa" w:w="1300"/>
            <w:tcBorders>
              <w:top w:val="single" w:color="C9D4DC" w:sz="4"/>
              <w:left w:val="single" w:color="C9D4DC" w:sz="4"/>
              <w:bottom w:val="single" w:color="C9D4DC" w:sz="4"/>
              <w:right w:val="single" w:color="C9D4DC" w:sz="4"/>
            </w:tcBorders>
            <w:shd w:fill="0F3B5C" w:val="clear"/>
            <w:tcMar>
              <w:top w:type="dxa" w:w="80"/>
              <w:left w:type="dxa" w:w="110"/>
              <w:bottom w:type="dxa" w:w="80"/>
              <w:right w:type="dxa" w:w="110"/>
            </w:tcMar>
          </w:tcPr>
          <w:p>
            <w:r>
              <w:rPr>
                <w:rFonts w:ascii="Calibri" w:cs="Calibri" w:eastAsia="Calibri" w:hAnsi="Calibri"/>
                <w:b/>
                <w:bCs/>
                <w:color w:val="FFFFFF"/>
                <w:sz w:val="20"/>
                <w:szCs w:val="20"/>
              </w:rPr>
              <w:t xml:space="preserve">Milestone</w:t>
            </w:r>
          </w:p>
        </w:tc>
        <w:tc>
          <w:tcPr>
            <w:tcW w:type="dxa" w:w="1500"/>
            <w:tcBorders>
              <w:top w:val="single" w:color="C9D4DC" w:sz="4"/>
              <w:left w:val="single" w:color="C9D4DC" w:sz="4"/>
              <w:bottom w:val="single" w:color="C9D4DC" w:sz="4"/>
              <w:right w:val="single" w:color="C9D4DC" w:sz="4"/>
            </w:tcBorders>
            <w:shd w:fill="0F3B5C" w:val="clear"/>
            <w:tcMar>
              <w:top w:type="dxa" w:w="80"/>
              <w:left w:type="dxa" w:w="110"/>
              <w:bottom w:type="dxa" w:w="80"/>
              <w:right w:type="dxa" w:w="110"/>
            </w:tcMar>
          </w:tcPr>
          <w:p>
            <w:r>
              <w:rPr>
                <w:rFonts w:ascii="Calibri" w:cs="Calibri" w:eastAsia="Calibri" w:hAnsi="Calibri"/>
                <w:b/>
                <w:bCs/>
                <w:color w:val="FFFFFF"/>
                <w:sz w:val="20"/>
                <w:szCs w:val="20"/>
              </w:rPr>
              <w:t xml:space="preserve">On completion of</w:t>
            </w:r>
          </w:p>
        </w:tc>
        <w:tc>
          <w:tcPr>
            <w:tcW w:type="dxa" w:w="7000"/>
            <w:tcBorders>
              <w:top w:val="single" w:color="C9D4DC" w:sz="4"/>
              <w:left w:val="single" w:color="C9D4DC" w:sz="4"/>
              <w:bottom w:val="single" w:color="C9D4DC" w:sz="4"/>
              <w:right w:val="single" w:color="C9D4DC" w:sz="4"/>
            </w:tcBorders>
            <w:shd w:fill="0F3B5C" w:val="clear"/>
            <w:tcMar>
              <w:top w:type="dxa" w:w="80"/>
              <w:left w:type="dxa" w:w="110"/>
              <w:bottom w:type="dxa" w:w="80"/>
              <w:right w:type="dxa" w:w="110"/>
            </w:tcMar>
          </w:tcPr>
          <w:p>
            <w:r>
              <w:rPr>
                <w:rFonts w:ascii="Calibri" w:cs="Calibri" w:eastAsia="Calibri" w:hAnsi="Calibri"/>
                <w:b/>
                <w:bCs/>
                <w:color w:val="FFFFFF"/>
                <w:sz w:val="20"/>
                <w:szCs w:val="20"/>
              </w:rPr>
              <w:t xml:space="preserve">Target</w:t>
            </w:r>
          </w:p>
        </w:tc>
      </w:tr>
      <w:tr>
        <w:tc>
          <w:tcPr>
            <w:tcW w:type="dxa" w:w="1300"/>
            <w:tcBorders>
              <w:top w:val="single" w:color="C9D4DC" w:sz="4"/>
              <w:left w:val="single" w:color="C9D4DC" w:sz="4"/>
              <w:bottom w:val="single" w:color="C9D4DC" w:sz="4"/>
              <w:right w:val="single" w:color="C9D4DC" w:sz="4"/>
            </w:tcBorders>
            <w:tcMar>
              <w:top w:type="dxa" w:w="70"/>
              <w:left w:type="dxa" w:w="110"/>
              <w:bottom w:type="dxa" w:w="70"/>
              <w:right w:type="dxa" w:w="110"/>
            </w:tcMar>
          </w:tcPr>
          <w:p>
            <w:r>
              <w:rPr>
                <w:rFonts w:ascii="Calibri" w:cs="Calibri" w:eastAsia="Calibri" w:hAnsi="Calibri"/>
                <w:b/>
                <w:bCs/>
                <w:color w:val="1F2937"/>
                <w:sz w:val="20"/>
                <w:szCs w:val="20"/>
              </w:rPr>
              <w:t xml:space="preserve">M1</w:t>
            </w:r>
          </w:p>
        </w:tc>
        <w:tc>
          <w:tcPr>
            <w:tcW w:type="dxa" w:w="1500"/>
            <w:tcBorders>
              <w:top w:val="single" w:color="C9D4DC" w:sz="4"/>
              <w:left w:val="single" w:color="C9D4DC" w:sz="4"/>
              <w:bottom w:val="single" w:color="C9D4DC" w:sz="4"/>
              <w:right w:val="single" w:color="C9D4DC" w:sz="4"/>
            </w:tcBorders>
            <w:tcMar>
              <w:top w:type="dxa" w:w="70"/>
              <w:left w:type="dxa" w:w="110"/>
              <w:bottom w:type="dxa" w:w="70"/>
              <w:right w:type="dxa" w:w="110"/>
            </w:tcMar>
          </w:tcPr>
          <w:p>
            <w:r>
              <w:rPr>
                <w:rFonts w:ascii="Calibri" w:cs="Calibri" w:eastAsia="Calibri" w:hAnsi="Calibri"/>
                <w:b w:val="false"/>
                <w:bCs w:val="false"/>
                <w:color w:val="1F2937"/>
                <w:sz w:val="20"/>
                <w:szCs w:val="20"/>
              </w:rPr>
              <w:t xml:space="preserve">Phase 1</w:t>
            </w:r>
          </w:p>
        </w:tc>
        <w:tc>
          <w:tcPr>
            <w:tcW w:type="dxa" w:w="7000"/>
            <w:tcBorders>
              <w:top w:val="single" w:color="C9D4DC" w:sz="4"/>
              <w:left w:val="single" w:color="C9D4DC" w:sz="4"/>
              <w:bottom w:val="single" w:color="C9D4DC" w:sz="4"/>
              <w:right w:val="single" w:color="C9D4DC" w:sz="4"/>
            </w:tcBorders>
            <w:tcMar>
              <w:top w:type="dxa" w:w="70"/>
              <w:left w:type="dxa" w:w="110"/>
              <w:bottom w:type="dxa" w:w="70"/>
              <w:right w:type="dxa" w:w="110"/>
            </w:tcMar>
          </w:tcPr>
          <w:p>
            <w:pPr>
              <w:spacing w:after="50" w:line="252"/>
            </w:pPr>
            <w:r>
              <w:rPr>
                <w:rFonts w:ascii="Calibri" w:cs="Calibri" w:eastAsia="Calibri" w:hAnsi="Calibri"/>
                <w:b/>
                <w:bCs/>
                <w:color w:val="0F3B5C"/>
                <w:sz w:val="20"/>
                <w:szCs w:val="20"/>
              </w:rPr>
              <w:t xml:space="preserve">Reference pipeline live</w:t>
            </w:r>
          </w:p>
          <w:p>
            <w:pPr>
              <w:spacing w:after="50" w:line="252"/>
              <w:ind w:left="160" w:hanging="160"/>
            </w:pPr>
            <w:r>
              <w:rPr>
                <w:rFonts w:ascii="Calibri" w:cs="Calibri" w:eastAsia="Calibri" w:hAnsi="Calibri"/>
                <w:b w:val="false"/>
                <w:bCs w:val="false"/>
                <w:color w:val="1F2937"/>
                <w:sz w:val="20"/>
                <w:szCs w:val="20"/>
              </w:rPr>
              <w:t xml:space="preserve">–  First working pipeline, built by hand, running daily on the cloud platform</w:t>
            </w:r>
          </w:p>
          <w:p>
            <w:pPr>
              <w:spacing w:after="50" w:line="252"/>
              <w:ind w:left="160" w:hanging="160"/>
            </w:pPr>
            <w:r>
              <w:rPr>
                <w:rFonts w:ascii="Calibri" w:cs="Calibri" w:eastAsia="Calibri" w:hAnsi="Calibri"/>
                <w:b w:val="false"/>
                <w:bCs w:val="false"/>
                <w:color w:val="1F2937"/>
                <w:sz w:val="20"/>
                <w:szCs w:val="20"/>
              </w:rPr>
              <w:t xml:space="preserve">–  Environment fully scripted and reproducible; team trained on the platform</w:t>
            </w:r>
          </w:p>
          <w:p>
            <w:pPr>
              <w:spacing w:after="0" w:line="252"/>
              <w:ind w:left="160" w:hanging="160"/>
            </w:pPr>
            <w:r>
              <w:rPr>
                <w:rFonts w:ascii="Calibri" w:cs="Calibri" w:eastAsia="Calibri" w:hAnsi="Calibri"/>
                <w:b w:val="false"/>
                <w:bCs w:val="false"/>
                <w:color w:val="1F2937"/>
                <w:sz w:val="20"/>
                <w:szCs w:val="20"/>
              </w:rPr>
              <w:t xml:space="preserve">–  Proof that data moves end to end: source to Bronze to CURATE, with quality checks</w:t>
            </w:r>
          </w:p>
        </w:tc>
      </w:tr>
      <w:tr>
        <w:tc>
          <w:tcPr>
            <w:tcW w:type="dxa" w:w="1300"/>
            <w:tcBorders>
              <w:top w:val="single" w:color="C9D4DC" w:sz="4"/>
              <w:left w:val="single" w:color="C9D4DC" w:sz="4"/>
              <w:bottom w:val="single" w:color="C9D4DC" w:sz="4"/>
              <w:right w:val="single" w:color="C9D4DC" w:sz="4"/>
            </w:tcBorders>
            <w:shd w:fill="EEF3F7" w:val="clear"/>
            <w:tcMar>
              <w:top w:type="dxa" w:w="70"/>
              <w:left w:type="dxa" w:w="110"/>
              <w:bottom w:type="dxa" w:w="70"/>
              <w:right w:type="dxa" w:w="110"/>
            </w:tcMar>
          </w:tcPr>
          <w:p>
            <w:r>
              <w:rPr>
                <w:rFonts w:ascii="Calibri" w:cs="Calibri" w:eastAsia="Calibri" w:hAnsi="Calibri"/>
                <w:b/>
                <w:bCs/>
                <w:color w:val="1F2937"/>
                <w:sz w:val="20"/>
                <w:szCs w:val="20"/>
              </w:rPr>
              <w:t xml:space="preserve">M2</w:t>
            </w:r>
          </w:p>
        </w:tc>
        <w:tc>
          <w:tcPr>
            <w:tcW w:type="dxa" w:w="1500"/>
            <w:tcBorders>
              <w:top w:val="single" w:color="C9D4DC" w:sz="4"/>
              <w:left w:val="single" w:color="C9D4DC" w:sz="4"/>
              <w:bottom w:val="single" w:color="C9D4DC" w:sz="4"/>
              <w:right w:val="single" w:color="C9D4DC" w:sz="4"/>
            </w:tcBorders>
            <w:shd w:fill="EEF3F7" w:val="clear"/>
            <w:tcMar>
              <w:top w:type="dxa" w:w="70"/>
              <w:left w:type="dxa" w:w="110"/>
              <w:bottom w:type="dxa" w:w="70"/>
              <w:right w:type="dxa" w:w="110"/>
            </w:tcMar>
          </w:tcPr>
          <w:p>
            <w:r>
              <w:rPr>
                <w:rFonts w:ascii="Calibri" w:cs="Calibri" w:eastAsia="Calibri" w:hAnsi="Calibri"/>
                <w:b w:val="false"/>
                <w:bCs w:val="false"/>
                <w:color w:val="1F2937"/>
                <w:sz w:val="20"/>
                <w:szCs w:val="20"/>
              </w:rPr>
              <w:t xml:space="preserve">Phase 2</w:t>
            </w:r>
          </w:p>
        </w:tc>
        <w:tc>
          <w:tcPr>
            <w:tcW w:type="dxa" w:w="7000"/>
            <w:tcBorders>
              <w:top w:val="single" w:color="C9D4DC" w:sz="4"/>
              <w:left w:val="single" w:color="C9D4DC" w:sz="4"/>
              <w:bottom w:val="single" w:color="C9D4DC" w:sz="4"/>
              <w:right w:val="single" w:color="C9D4DC" w:sz="4"/>
            </w:tcBorders>
            <w:shd w:fill="EEF3F7" w:val="clear"/>
            <w:tcMar>
              <w:top w:type="dxa" w:w="70"/>
              <w:left w:type="dxa" w:w="110"/>
              <w:bottom w:type="dxa" w:w="70"/>
              <w:right w:type="dxa" w:w="110"/>
            </w:tcMar>
          </w:tcPr>
          <w:p>
            <w:pPr>
              <w:spacing w:after="50" w:line="252"/>
            </w:pPr>
            <w:r>
              <w:rPr>
                <w:rFonts w:ascii="Calibri" w:cs="Calibri" w:eastAsia="Calibri" w:hAnsi="Calibri"/>
                <w:b/>
                <w:bCs/>
                <w:color w:val="0F3B5C"/>
                <w:sz w:val="20"/>
                <w:szCs w:val="20"/>
              </w:rPr>
              <w:t xml:space="preserve">Factory operational</w:t>
            </w:r>
          </w:p>
          <w:p>
            <w:pPr>
              <w:spacing w:after="50" w:line="252"/>
              <w:ind w:left="160" w:hanging="160"/>
            </w:pPr>
            <w:r>
              <w:rPr>
                <w:rFonts w:ascii="Calibri" w:cs="Calibri" w:eastAsia="Calibri" w:hAnsi="Calibri"/>
                <w:b w:val="false"/>
                <w:bCs w:val="false"/>
                <w:color w:val="1F2937"/>
                <w:sz w:val="20"/>
                <w:szCs w:val="20"/>
              </w:rPr>
              <w:t xml:space="preserve">–  New tables onboarded from configuration files alone - no hand-written code</w:t>
            </w:r>
          </w:p>
          <w:p>
            <w:pPr>
              <w:spacing w:after="50" w:line="252"/>
              <w:ind w:left="160" w:hanging="160"/>
            </w:pPr>
            <w:r>
              <w:rPr>
                <w:rFonts w:ascii="Calibri" w:cs="Calibri" w:eastAsia="Calibri" w:hAnsi="Calibri"/>
                <w:b w:val="false"/>
                <w:bCs w:val="false"/>
                <w:color w:val="1F2937"/>
                <w:sz w:val="20"/>
                <w:szCs w:val="20"/>
              </w:rPr>
              <w:t xml:space="preserve">–  Every generated pipeline reviewed through a Git pull request before deployment</w:t>
            </w:r>
          </w:p>
          <w:p>
            <w:pPr>
              <w:spacing w:after="0" w:line="252"/>
              <w:ind w:left="160" w:hanging="160"/>
            </w:pPr>
            <w:r>
              <w:rPr>
                <w:rFonts w:ascii="Calibri" w:cs="Calibri" w:eastAsia="Calibri" w:hAnsi="Calibri"/>
                <w:b w:val="false"/>
                <w:bCs w:val="false"/>
                <w:color w:val="1F2937"/>
                <w:sz w:val="20"/>
                <w:szCs w:val="20"/>
              </w:rPr>
              <w:t xml:space="preserve">–  Sandbox validator and quality scorecards working; no AI involvement yet</w:t>
            </w:r>
          </w:p>
        </w:tc>
      </w:tr>
      <w:tr>
        <w:tc>
          <w:tcPr>
            <w:tcW w:type="dxa" w:w="1300"/>
            <w:tcBorders>
              <w:top w:val="single" w:color="C9D4DC" w:sz="4"/>
              <w:left w:val="single" w:color="C9D4DC" w:sz="4"/>
              <w:bottom w:val="single" w:color="C9D4DC" w:sz="4"/>
              <w:right w:val="single" w:color="C9D4DC" w:sz="4"/>
            </w:tcBorders>
            <w:tcMar>
              <w:top w:type="dxa" w:w="70"/>
              <w:left w:type="dxa" w:w="110"/>
              <w:bottom w:type="dxa" w:w="70"/>
              <w:right w:type="dxa" w:w="110"/>
            </w:tcMar>
          </w:tcPr>
          <w:p>
            <w:r>
              <w:rPr>
                <w:rFonts w:ascii="Calibri" w:cs="Calibri" w:eastAsia="Calibri" w:hAnsi="Calibri"/>
                <w:b/>
                <w:bCs/>
                <w:color w:val="1F2937"/>
                <w:sz w:val="20"/>
                <w:szCs w:val="20"/>
              </w:rPr>
              <w:t xml:space="preserve">M3</w:t>
            </w:r>
          </w:p>
        </w:tc>
        <w:tc>
          <w:tcPr>
            <w:tcW w:type="dxa" w:w="1500"/>
            <w:tcBorders>
              <w:top w:val="single" w:color="C9D4DC" w:sz="4"/>
              <w:left w:val="single" w:color="C9D4DC" w:sz="4"/>
              <w:bottom w:val="single" w:color="C9D4DC" w:sz="4"/>
              <w:right w:val="single" w:color="C9D4DC" w:sz="4"/>
            </w:tcBorders>
            <w:tcMar>
              <w:top w:type="dxa" w:w="70"/>
              <w:left w:type="dxa" w:w="110"/>
              <w:bottom w:type="dxa" w:w="70"/>
              <w:right w:type="dxa" w:w="110"/>
            </w:tcMar>
          </w:tcPr>
          <w:p>
            <w:r>
              <w:rPr>
                <w:rFonts w:ascii="Calibri" w:cs="Calibri" w:eastAsia="Calibri" w:hAnsi="Calibri"/>
                <w:b w:val="false"/>
                <w:bCs w:val="false"/>
                <w:color w:val="1F2937"/>
                <w:sz w:val="20"/>
                <w:szCs w:val="20"/>
              </w:rPr>
              <w:t xml:space="preserve">Phase 3</w:t>
            </w:r>
          </w:p>
        </w:tc>
        <w:tc>
          <w:tcPr>
            <w:tcW w:type="dxa" w:w="7000"/>
            <w:tcBorders>
              <w:top w:val="single" w:color="C9D4DC" w:sz="4"/>
              <w:left w:val="single" w:color="C9D4DC" w:sz="4"/>
              <w:bottom w:val="single" w:color="C9D4DC" w:sz="4"/>
              <w:right w:val="single" w:color="C9D4DC" w:sz="4"/>
            </w:tcBorders>
            <w:tcMar>
              <w:top w:type="dxa" w:w="70"/>
              <w:left w:type="dxa" w:w="110"/>
              <w:bottom w:type="dxa" w:w="70"/>
              <w:right w:type="dxa" w:w="110"/>
            </w:tcMar>
          </w:tcPr>
          <w:p>
            <w:pPr>
              <w:spacing w:after="50" w:line="252"/>
            </w:pPr>
            <w:r>
              <w:rPr>
                <w:rFonts w:ascii="Calibri" w:cs="Calibri" w:eastAsia="Calibri" w:hAnsi="Calibri"/>
                <w:b/>
                <w:bCs/>
                <w:color w:val="0F3B5C"/>
                <w:sz w:val="20"/>
                <w:szCs w:val="20"/>
              </w:rPr>
              <w:t xml:space="preserve">First production go-live</w:t>
            </w:r>
          </w:p>
          <w:p>
            <w:pPr>
              <w:spacing w:after="50" w:line="252"/>
              <w:ind w:left="160" w:hanging="160"/>
            </w:pPr>
            <w:r>
              <w:rPr>
                <w:rFonts w:ascii="Calibri" w:cs="Calibri" w:eastAsia="Calibri" w:hAnsi="Calibri"/>
                <w:b w:val="false"/>
                <w:bCs w:val="false"/>
                <w:color w:val="1F2937"/>
                <w:sz w:val="20"/>
                <w:szCs w:val="20"/>
              </w:rPr>
              <w:t xml:space="preserve">–  Profiling and AI-assisted generation active, constrained to approved templates</w:t>
            </w:r>
          </w:p>
          <w:p>
            <w:pPr>
              <w:spacing w:after="50" w:line="252"/>
              <w:ind w:left="160" w:hanging="160"/>
            </w:pPr>
            <w:r>
              <w:rPr>
                <w:rFonts w:ascii="Calibri" w:cs="Calibri" w:eastAsia="Calibri" w:hAnsi="Calibri"/>
                <w:b w:val="false"/>
                <w:bCs w:val="false"/>
                <w:color w:val="1F2937"/>
                <w:sz w:val="20"/>
                <w:szCs w:val="20"/>
              </w:rPr>
              <w:t xml:space="preserve">–  Human approval gate enforced; full audit trail retrievable</w:t>
            </w:r>
          </w:p>
          <w:p>
            <w:pPr>
              <w:spacing w:after="0" w:line="252"/>
              <w:ind w:left="160" w:hanging="160"/>
            </w:pPr>
            <w:r>
              <w:rPr>
                <w:rFonts w:ascii="Calibri" w:cs="Calibri" w:eastAsia="Calibri" w:hAnsi="Calibri"/>
                <w:b w:val="false"/>
                <w:bCs w:val="false"/>
                <w:color w:val="1F2937"/>
                <w:sz w:val="20"/>
                <w:szCs w:val="20"/>
              </w:rPr>
              <w:t xml:space="preserve">–  Onboarding time target demonstrated on a real source</w:t>
            </w:r>
          </w:p>
        </w:tc>
      </w:tr>
      <w:tr>
        <w:tc>
          <w:tcPr>
            <w:tcW w:type="dxa" w:w="1300"/>
            <w:tcBorders>
              <w:top w:val="single" w:color="C9D4DC" w:sz="4"/>
              <w:left w:val="single" w:color="C9D4DC" w:sz="4"/>
              <w:bottom w:val="single" w:color="C9D4DC" w:sz="4"/>
              <w:right w:val="single" w:color="C9D4DC" w:sz="4"/>
            </w:tcBorders>
            <w:shd w:fill="EEF3F7" w:val="clear"/>
            <w:tcMar>
              <w:top w:type="dxa" w:w="70"/>
              <w:left w:type="dxa" w:w="110"/>
              <w:bottom w:type="dxa" w:w="70"/>
              <w:right w:type="dxa" w:w="110"/>
            </w:tcMar>
          </w:tcPr>
          <w:p>
            <w:r>
              <w:rPr>
                <w:rFonts w:ascii="Calibri" w:cs="Calibri" w:eastAsia="Calibri" w:hAnsi="Calibri"/>
                <w:b/>
                <w:bCs/>
                <w:color w:val="1F2937"/>
                <w:sz w:val="20"/>
                <w:szCs w:val="20"/>
              </w:rPr>
              <w:t xml:space="preserve">M4</w:t>
            </w:r>
          </w:p>
        </w:tc>
        <w:tc>
          <w:tcPr>
            <w:tcW w:type="dxa" w:w="1500"/>
            <w:tcBorders>
              <w:top w:val="single" w:color="C9D4DC" w:sz="4"/>
              <w:left w:val="single" w:color="C9D4DC" w:sz="4"/>
              <w:bottom w:val="single" w:color="C9D4DC" w:sz="4"/>
              <w:right w:val="single" w:color="C9D4DC" w:sz="4"/>
            </w:tcBorders>
            <w:shd w:fill="EEF3F7" w:val="clear"/>
            <w:tcMar>
              <w:top w:type="dxa" w:w="70"/>
              <w:left w:type="dxa" w:w="110"/>
              <w:bottom w:type="dxa" w:w="70"/>
              <w:right w:type="dxa" w:w="110"/>
            </w:tcMar>
          </w:tcPr>
          <w:p>
            <w:r>
              <w:rPr>
                <w:rFonts w:ascii="Calibri" w:cs="Calibri" w:eastAsia="Calibri" w:hAnsi="Calibri"/>
                <w:b w:val="false"/>
                <w:bCs w:val="false"/>
                <w:color w:val="1F2937"/>
                <w:sz w:val="20"/>
                <w:szCs w:val="20"/>
              </w:rPr>
              <w:t xml:space="preserve">Phase 4</w:t>
            </w:r>
          </w:p>
        </w:tc>
        <w:tc>
          <w:tcPr>
            <w:tcW w:type="dxa" w:w="7000"/>
            <w:tcBorders>
              <w:top w:val="single" w:color="C9D4DC" w:sz="4"/>
              <w:left w:val="single" w:color="C9D4DC" w:sz="4"/>
              <w:bottom w:val="single" w:color="C9D4DC" w:sz="4"/>
              <w:right w:val="single" w:color="C9D4DC" w:sz="4"/>
            </w:tcBorders>
            <w:shd w:fill="EEF3F7" w:val="clear"/>
            <w:tcMar>
              <w:top w:type="dxa" w:w="70"/>
              <w:left w:type="dxa" w:w="110"/>
              <w:bottom w:type="dxa" w:w="70"/>
              <w:right w:type="dxa" w:w="110"/>
            </w:tcMar>
          </w:tcPr>
          <w:p>
            <w:pPr>
              <w:spacing w:after="50" w:line="252"/>
            </w:pPr>
            <w:r>
              <w:rPr>
                <w:rFonts w:ascii="Calibri" w:cs="Calibri" w:eastAsia="Calibri" w:hAnsi="Calibri"/>
                <w:b/>
                <w:bCs/>
                <w:color w:val="0F3B5C"/>
                <w:sz w:val="20"/>
                <w:szCs w:val="20"/>
              </w:rPr>
              <w:t xml:space="preserve">Resilient loading</w:t>
            </w:r>
          </w:p>
          <w:p>
            <w:pPr>
              <w:spacing w:after="50" w:line="252"/>
              <w:ind w:left="160" w:hanging="160"/>
            </w:pPr>
            <w:r>
              <w:rPr>
                <w:rFonts w:ascii="Calibri" w:cs="Calibri" w:eastAsia="Calibri" w:hAnsi="Calibri"/>
                <w:b w:val="false"/>
                <w:bCs w:val="false"/>
                <w:color w:val="1F2937"/>
                <w:sz w:val="20"/>
                <w:szCs w:val="20"/>
              </w:rPr>
              <w:t xml:space="preserve">–  Change data capture available; late data and backfill handled correctly</w:t>
            </w:r>
          </w:p>
          <w:p>
            <w:pPr>
              <w:spacing w:after="50" w:line="252"/>
              <w:ind w:left="160" w:hanging="160"/>
            </w:pPr>
            <w:r>
              <w:rPr>
                <w:rFonts w:ascii="Calibri" w:cs="Calibri" w:eastAsia="Calibri" w:hAnsi="Calibri"/>
                <w:b w:val="false"/>
                <w:bCs w:val="false"/>
                <w:color w:val="1F2937"/>
                <w:sz w:val="20"/>
                <w:szCs w:val="20"/>
              </w:rPr>
              <w:t xml:space="preserve">–  Schema drift detected and handled by policy, with timely notifications</w:t>
            </w:r>
          </w:p>
          <w:p>
            <w:pPr>
              <w:spacing w:after="0" w:line="252"/>
              <w:ind w:left="160" w:hanging="160"/>
            </w:pPr>
            <w:r>
              <w:rPr>
                <w:rFonts w:ascii="Calibri" w:cs="Calibri" w:eastAsia="Calibri" w:hAnsi="Calibri"/>
                <w:b w:val="false"/>
                <w:bCs w:val="false"/>
                <w:color w:val="1F2937"/>
                <w:sz w:val="20"/>
                <w:szCs w:val="20"/>
              </w:rPr>
              <w:t xml:space="preserve">–  Transient failures recover on their own; hard failures escalate with a full diagnosis</w:t>
            </w:r>
          </w:p>
        </w:tc>
      </w:tr>
      <w:tr>
        <w:tc>
          <w:tcPr>
            <w:tcW w:type="dxa" w:w="1300"/>
            <w:tcBorders>
              <w:top w:val="single" w:color="C9D4DC" w:sz="4"/>
              <w:left w:val="single" w:color="C9D4DC" w:sz="4"/>
              <w:bottom w:val="single" w:color="C9D4DC" w:sz="4"/>
              <w:right w:val="single" w:color="C9D4DC" w:sz="4"/>
            </w:tcBorders>
            <w:tcMar>
              <w:top w:type="dxa" w:w="70"/>
              <w:left w:type="dxa" w:w="110"/>
              <w:bottom w:type="dxa" w:w="70"/>
              <w:right w:type="dxa" w:w="110"/>
            </w:tcMar>
          </w:tcPr>
          <w:p>
            <w:r>
              <w:rPr>
                <w:rFonts w:ascii="Calibri" w:cs="Calibri" w:eastAsia="Calibri" w:hAnsi="Calibri"/>
                <w:b/>
                <w:bCs/>
                <w:color w:val="1F2937"/>
                <w:sz w:val="20"/>
                <w:szCs w:val="20"/>
              </w:rPr>
              <w:t xml:space="preserve">M5</w:t>
            </w:r>
          </w:p>
        </w:tc>
        <w:tc>
          <w:tcPr>
            <w:tcW w:type="dxa" w:w="1500"/>
            <w:tcBorders>
              <w:top w:val="single" w:color="C9D4DC" w:sz="4"/>
              <w:left w:val="single" w:color="C9D4DC" w:sz="4"/>
              <w:bottom w:val="single" w:color="C9D4DC" w:sz="4"/>
              <w:right w:val="single" w:color="C9D4DC" w:sz="4"/>
            </w:tcBorders>
            <w:tcMar>
              <w:top w:type="dxa" w:w="70"/>
              <w:left w:type="dxa" w:w="110"/>
              <w:bottom w:type="dxa" w:w="70"/>
              <w:right w:type="dxa" w:w="110"/>
            </w:tcMar>
          </w:tcPr>
          <w:p>
            <w:r>
              <w:rPr>
                <w:rFonts w:ascii="Calibri" w:cs="Calibri" w:eastAsia="Calibri" w:hAnsi="Calibri"/>
                <w:b w:val="false"/>
                <w:bCs w:val="false"/>
                <w:color w:val="1F2937"/>
                <w:sz w:val="20"/>
                <w:szCs w:val="20"/>
              </w:rPr>
              <w:t xml:space="preserve">Phase 5</w:t>
            </w:r>
          </w:p>
        </w:tc>
        <w:tc>
          <w:tcPr>
            <w:tcW w:type="dxa" w:w="7000"/>
            <w:tcBorders>
              <w:top w:val="single" w:color="C9D4DC" w:sz="4"/>
              <w:left w:val="single" w:color="C9D4DC" w:sz="4"/>
              <w:bottom w:val="single" w:color="C9D4DC" w:sz="4"/>
              <w:right w:val="single" w:color="C9D4DC" w:sz="4"/>
            </w:tcBorders>
            <w:tcMar>
              <w:top w:type="dxa" w:w="70"/>
              <w:left w:type="dxa" w:w="110"/>
              <w:bottom w:type="dxa" w:w="70"/>
              <w:right w:type="dxa" w:w="110"/>
            </w:tcMar>
          </w:tcPr>
          <w:p>
            <w:pPr>
              <w:spacing w:after="50" w:line="252"/>
            </w:pPr>
            <w:r>
              <w:rPr>
                <w:rFonts w:ascii="Calibri" w:cs="Calibri" w:eastAsia="Calibri" w:hAnsi="Calibri"/>
                <w:b/>
                <w:bCs/>
                <w:color w:val="0F3B5C"/>
                <w:sz w:val="20"/>
                <w:szCs w:val="20"/>
              </w:rPr>
              <w:t xml:space="preserve">Full operations</w:t>
            </w:r>
          </w:p>
          <w:p>
            <w:pPr>
              <w:spacing w:after="50" w:line="252"/>
              <w:ind w:left="160" w:hanging="160"/>
            </w:pPr>
            <w:r>
              <w:rPr>
                <w:rFonts w:ascii="Calibri" w:cs="Calibri" w:eastAsia="Calibri" w:hAnsi="Calibri"/>
                <w:b w:val="false"/>
                <w:bCs w:val="false"/>
                <w:color w:val="1F2937"/>
                <w:sz w:val="20"/>
                <w:szCs w:val="20"/>
              </w:rPr>
              <w:t xml:space="preserve">–  SelfHeal handling incidents with guardrailed playbooks and an incident register</w:t>
            </w:r>
          </w:p>
          <w:p>
            <w:pPr>
              <w:spacing w:after="50" w:line="252"/>
              <w:ind w:left="160" w:hanging="160"/>
            </w:pPr>
            <w:r>
              <w:rPr>
                <w:rFonts w:ascii="Calibri" w:cs="Calibri" w:eastAsia="Calibri" w:hAnsi="Calibri"/>
                <w:b w:val="false"/>
                <w:bCs w:val="false"/>
                <w:color w:val="1F2937"/>
                <w:sz w:val="20"/>
                <w:szCs w:val="20"/>
              </w:rPr>
              <w:t xml:space="preserve">–  Column-level lineage in the catalogue; SLA tracking with early warnings</w:t>
            </w:r>
          </w:p>
          <w:p>
            <w:pPr>
              <w:spacing w:after="0" w:line="252"/>
              <w:ind w:left="160" w:hanging="160"/>
            </w:pPr>
            <w:r>
              <w:rPr>
                <w:rFonts w:ascii="Calibri" w:cs="Calibri" w:eastAsia="Calibri" w:hAnsi="Calibri"/>
                <w:b w:val="false"/>
                <w:bCs w:val="false"/>
                <w:color w:val="1F2937"/>
                <w:sz w:val="20"/>
                <w:szCs w:val="20"/>
              </w:rPr>
              <w:t xml:space="preserve">–  Per-pipeline cost reporting; notifications and weekly digests in place</w:t>
            </w:r>
          </w:p>
        </w:tc>
      </w:tr>
      <w:tr>
        <w:tc>
          <w:tcPr>
            <w:tcW w:type="dxa" w:w="1300"/>
            <w:tcBorders>
              <w:top w:val="single" w:color="C9D4DC" w:sz="4"/>
              <w:left w:val="single" w:color="C9D4DC" w:sz="4"/>
              <w:bottom w:val="single" w:color="C9D4DC" w:sz="4"/>
              <w:right w:val="single" w:color="C9D4DC" w:sz="4"/>
            </w:tcBorders>
            <w:shd w:fill="EEF3F7" w:val="clear"/>
            <w:tcMar>
              <w:top w:type="dxa" w:w="70"/>
              <w:left w:type="dxa" w:w="110"/>
              <w:bottom w:type="dxa" w:w="70"/>
              <w:right w:type="dxa" w:w="110"/>
            </w:tcMar>
          </w:tcPr>
          <w:p>
            <w:r>
              <w:rPr>
                <w:rFonts w:ascii="Calibri" w:cs="Calibri" w:eastAsia="Calibri" w:hAnsi="Calibri"/>
                <w:b/>
                <w:bCs/>
                <w:color w:val="1F2937"/>
                <w:sz w:val="20"/>
                <w:szCs w:val="20"/>
              </w:rPr>
              <w:t xml:space="preserve">M6</w:t>
            </w:r>
          </w:p>
        </w:tc>
        <w:tc>
          <w:tcPr>
            <w:tcW w:type="dxa" w:w="1500"/>
            <w:tcBorders>
              <w:top w:val="single" w:color="C9D4DC" w:sz="4"/>
              <w:left w:val="single" w:color="C9D4DC" w:sz="4"/>
              <w:bottom w:val="single" w:color="C9D4DC" w:sz="4"/>
              <w:right w:val="single" w:color="C9D4DC" w:sz="4"/>
            </w:tcBorders>
            <w:shd w:fill="EEF3F7" w:val="clear"/>
            <w:tcMar>
              <w:top w:type="dxa" w:w="70"/>
              <w:left w:type="dxa" w:w="110"/>
              <w:bottom w:type="dxa" w:w="70"/>
              <w:right w:type="dxa" w:w="110"/>
            </w:tcMar>
          </w:tcPr>
          <w:p>
            <w:r>
              <w:rPr>
                <w:rFonts w:ascii="Calibri" w:cs="Calibri" w:eastAsia="Calibri" w:hAnsi="Calibri"/>
                <w:b w:val="false"/>
                <w:bCs w:val="false"/>
                <w:color w:val="1F2937"/>
                <w:sz w:val="20"/>
                <w:szCs w:val="20"/>
              </w:rPr>
              <w:t xml:space="preserve">Phases 6 - 7</w:t>
            </w:r>
          </w:p>
        </w:tc>
        <w:tc>
          <w:tcPr>
            <w:tcW w:type="dxa" w:w="7000"/>
            <w:tcBorders>
              <w:top w:val="single" w:color="C9D4DC" w:sz="4"/>
              <w:left w:val="single" w:color="C9D4DC" w:sz="4"/>
              <w:bottom w:val="single" w:color="C9D4DC" w:sz="4"/>
              <w:right w:val="single" w:color="C9D4DC" w:sz="4"/>
            </w:tcBorders>
            <w:shd w:fill="EEF3F7" w:val="clear"/>
            <w:tcMar>
              <w:top w:type="dxa" w:w="70"/>
              <w:left w:type="dxa" w:w="110"/>
              <w:bottom w:type="dxa" w:w="70"/>
              <w:right w:type="dxa" w:w="110"/>
            </w:tcMar>
          </w:tcPr>
          <w:p>
            <w:pPr>
              <w:spacing w:after="50" w:line="252"/>
            </w:pPr>
            <w:r>
              <w:rPr>
                <w:rFonts w:ascii="Calibri" w:cs="Calibri" w:eastAsia="Calibri" w:hAnsi="Calibri"/>
                <w:b/>
                <w:bCs/>
                <w:color w:val="0F3B5C"/>
                <w:sz w:val="20"/>
                <w:szCs w:val="20"/>
              </w:rPr>
              <w:t xml:space="preserve">Complete coverage</w:t>
            </w:r>
          </w:p>
          <w:p>
            <w:pPr>
              <w:spacing w:after="50" w:line="252"/>
              <w:ind w:left="160" w:hanging="160"/>
            </w:pPr>
            <w:r>
              <w:rPr>
                <w:rFonts w:ascii="Calibri" w:cs="Calibri" w:eastAsia="Calibri" w:hAnsi="Calibri"/>
                <w:b w:val="false"/>
                <w:bCs w:val="false"/>
                <w:color w:val="1F2937"/>
                <w:sz w:val="20"/>
                <w:szCs w:val="20"/>
              </w:rPr>
              <w:t xml:space="preserve">–  All source types in scope onboarded; conversational interface available</w:t>
            </w:r>
          </w:p>
          <w:p>
            <w:pPr>
              <w:spacing w:after="50" w:line="252"/>
              <w:ind w:left="160" w:hanging="160"/>
            </w:pPr>
            <w:r>
              <w:rPr>
                <w:rFonts w:ascii="Calibri" w:cs="Calibri" w:eastAsia="Calibri" w:hAnsi="Calibri"/>
                <w:b w:val="false"/>
                <w:bCs w:val="false"/>
                <w:color w:val="1F2937"/>
                <w:sz w:val="20"/>
                <w:szCs w:val="20"/>
              </w:rPr>
              <w:t xml:space="preserve">–  Second target platform proven with the identical request contract</w:t>
            </w:r>
          </w:p>
          <w:p>
            <w:pPr>
              <w:spacing w:after="0" w:line="252"/>
              <w:ind w:left="160" w:hanging="160"/>
            </w:pPr>
            <w:r>
              <w:rPr>
                <w:rFonts w:ascii="Calibri" w:cs="Calibri" w:eastAsia="Calibri" w:hAnsi="Calibri"/>
                <w:b w:val="false"/>
                <w:bCs w:val="false"/>
                <w:color w:val="1F2937"/>
                <w:sz w:val="20"/>
                <w:szCs w:val="20"/>
              </w:rPr>
              <w:t xml:space="preserve">–  Runbooks, documentation and operations handover complete</w:t>
            </w:r>
          </w:p>
        </w:tc>
      </w:tr>
    </w:tbl>
    <w:p>
      <w:pPr>
        <w:spacing w:after="120" w:line="276"/>
      </w:pPr>
      <w:r>
        <w:rPr>
          <w:rFonts w:ascii="Calibri" w:cs="Calibri" w:eastAsia="Calibri" w:hAnsi="Calibri"/>
          <w:i/>
          <w:iCs/>
          <w:color w:val="5A6B7B"/>
          <w:sz w:val="20"/>
          <w:szCs w:val="20"/>
        </w:rPr>
        <w:t xml:space="preserve">Note: later milestones can be pulled forward by adopting connector tooling for the long tail of source types and by composing native platform ingestion features, as recommended in the design deck. The second target platform is the largest single addition and is deliberately sequenced last.</w:t>
      </w:r>
    </w:p>
    <w:p>
      <w:pPr>
        <w:pStyle w:val="Heading1"/>
        <w:spacing w:after="160" w:before="320"/>
      </w:pPr>
      <w:r>
        <w:rPr>
          <w:rFonts w:ascii="Calibri" w:cs="Calibri" w:eastAsia="Calibri" w:hAnsi="Calibri"/>
          <w:b/>
          <w:bCs/>
          <w:color w:val="0F3B5C"/>
          <w:sz w:val="30"/>
          <w:szCs w:val="30"/>
        </w:rPr>
        <w:t xml:space="preserve">3.  Phase Detail</w:t>
      </w:r>
    </w:p>
    <w:p>
      <w:pPr>
        <w:pStyle w:val="Heading2"/>
        <w:keepNext/>
        <w:spacing w:after="120" w:before="280"/>
      </w:pPr>
      <w:r>
        <w:rPr>
          <w:rFonts w:ascii="Calibri" w:cs="Calibri" w:eastAsia="Calibri" w:hAnsi="Calibri"/>
          <w:b/>
          <w:bCs/>
          <w:color w:val="0F3B5C"/>
          <w:sz w:val="25"/>
          <w:szCs w:val="25"/>
        </w:rPr>
        <w:t xml:space="preserve">Phase 0 - Knowledge Transfer and Readiness</w:t>
      </w:r>
    </w:p>
    <w:p>
      <w:pPr>
        <w:spacing w:after="120" w:line="276"/>
      </w:pPr>
      <w:r>
        <w:rPr>
          <w:rFonts w:ascii="Calibri" w:cs="Calibri" w:eastAsia="Calibri" w:hAnsi="Calibri"/>
          <w:b/>
          <w:bCs/>
          <w:color w:val="5A6B7B"/>
          <w:sz w:val="21"/>
          <w:szCs w:val="21"/>
        </w:rPr>
        <w:t xml:space="preserve">Objective:  </w:t>
      </w:r>
      <w:r>
        <w:rPr>
          <w:rFonts w:ascii="Calibri" w:cs="Calibri" w:eastAsia="Calibri" w:hAnsi="Calibri"/>
          <w:color w:val="1F2937"/>
          <w:sz w:val="21"/>
          <w:szCs w:val="21"/>
        </w:rPr>
        <w:t xml:space="preserve">Obtain the inputs required to start the build and confirm that the assumptions made in the requirements document actually hold.</w:t>
      </w:r>
    </w:p>
    <w:p>
      <w:pPr>
        <w:keepNext/>
        <w:spacing w:after="60" w:before="120"/>
      </w:pPr>
      <w:r>
        <w:rPr>
          <w:rFonts w:ascii="Calibri" w:cs="Calibri" w:eastAsia="Calibri" w:hAnsi="Calibri"/>
          <w:b/>
          <w:bCs/>
          <w:color w:val="5A6B7B"/>
          <w:sz w:val="21"/>
          <w:szCs w:val="21"/>
        </w:rPr>
        <w:t xml:space="preserve">Scope</w:t>
      </w:r>
    </w:p>
    <w:p>
      <w:pPr>
        <w:pStyle w:val="ListParagraph"/>
        <w:numPr>
          <w:ilvl w:val="0"/>
          <w:numId w:val="2"/>
        </w:numPr>
        <w:spacing w:after="60" w:line="264"/>
      </w:pPr>
      <w:r>
        <w:rPr>
          <w:rFonts w:ascii="Calibri" w:cs="Calibri" w:eastAsia="Calibri" w:hAnsi="Calibri"/>
          <w:color w:val="1F2937"/>
          <w:sz w:val="21"/>
          <w:szCs w:val="21"/>
        </w:rPr>
        <w:t xml:space="preserve">Demonstration of all work completed to date, in whatever state it exists: pipelines, interface, APIs, agent components</w:t>
      </w:r>
    </w:p>
    <w:p>
      <w:pPr>
        <w:pStyle w:val="ListParagraph"/>
        <w:numPr>
          <w:ilvl w:val="0"/>
          <w:numId w:val="2"/>
        </w:numPr>
        <w:spacing w:after="60" w:line="264"/>
      </w:pPr>
      <w:r>
        <w:rPr>
          <w:rFonts w:ascii="Calibri" w:cs="Calibri" w:eastAsia="Calibri" w:hAnsi="Calibri"/>
          <w:color w:val="1F2937"/>
          <w:sz w:val="21"/>
          <w:szCs w:val="21"/>
        </w:rPr>
        <w:t xml:space="preserve">Access to all repositories, notebooks, design documents and presentations</w:t>
      </w:r>
    </w:p>
    <w:p>
      <w:pPr>
        <w:pStyle w:val="ListParagraph"/>
        <w:numPr>
          <w:ilvl w:val="0"/>
          <w:numId w:val="2"/>
        </w:numPr>
        <w:spacing w:after="60" w:line="264"/>
      </w:pPr>
      <w:r>
        <w:rPr>
          <w:rFonts w:ascii="Calibri" w:cs="Calibri" w:eastAsia="Calibri" w:hAnsi="Calibri"/>
          <w:color w:val="1F2937"/>
          <w:sz w:val="21"/>
          <w:szCs w:val="21"/>
        </w:rPr>
        <w:t xml:space="preserve">Walkthrough of design decisions taken so far, blockers faced, and reasons progress stalled</w:t>
      </w:r>
    </w:p>
    <w:p>
      <w:pPr>
        <w:pStyle w:val="ListParagraph"/>
        <w:numPr>
          <w:ilvl w:val="0"/>
          <w:numId w:val="2"/>
        </w:numPr>
        <w:spacing w:after="60" w:line="264"/>
      </w:pPr>
      <w:r>
        <w:rPr>
          <w:rFonts w:ascii="Calibri" w:cs="Calibri" w:eastAsia="Calibri" w:hAnsi="Calibri"/>
          <w:color w:val="1F2937"/>
          <w:sz w:val="21"/>
          <w:szCs w:val="21"/>
        </w:rPr>
        <w:t xml:space="preserve">Current infrastructure confirmed: cloud subscriptions, workspace, storage, secrets vault, catalogue, LLM provider</w:t>
      </w:r>
      <w:r>
        <w:rPr>
          <w:rFonts w:ascii="Calibri" w:cs="Calibri" w:eastAsia="Calibri" w:hAnsi="Calibri"/>
          <w:color w:val="5A6B7B"/>
          <w:sz w:val="20"/>
          <w:szCs w:val="20"/>
        </w:rPr>
        <w:t xml:space="preserve">  (Sec 12.1, Sec 12.2)</w:t>
      </w:r>
    </w:p>
    <w:p>
      <w:pPr>
        <w:pStyle w:val="ListParagraph"/>
        <w:numPr>
          <w:ilvl w:val="0"/>
          <w:numId w:val="2"/>
        </w:numPr>
        <w:spacing w:after="60" w:line="264"/>
      </w:pPr>
      <w:r>
        <w:rPr>
          <w:rFonts w:ascii="Calibri" w:cs="Calibri" w:eastAsia="Calibri" w:hAnsi="Calibri"/>
          <w:color w:val="1F2937"/>
          <w:sz w:val="21"/>
          <w:szCs w:val="21"/>
        </w:rPr>
        <w:t xml:space="preserve">Template library status confirmed in writing: shared if it exists, stated clearly if it does not</w:t>
      </w:r>
      <w:r>
        <w:rPr>
          <w:rFonts w:ascii="Calibri" w:cs="Calibri" w:eastAsia="Calibri" w:hAnsi="Calibri"/>
          <w:color w:val="5A6B7B"/>
          <w:sz w:val="20"/>
          <w:szCs w:val="20"/>
        </w:rPr>
        <w:t xml:space="preserve">  (FR-02.2)</w:t>
      </w:r>
    </w:p>
    <w:p>
      <w:pPr>
        <w:pStyle w:val="ListParagraph"/>
        <w:numPr>
          <w:ilvl w:val="0"/>
          <w:numId w:val="2"/>
        </w:numPr>
        <w:spacing w:after="60" w:line="264"/>
      </w:pPr>
      <w:r>
        <w:rPr>
          <w:rFonts w:ascii="Calibri" w:cs="Calibri" w:eastAsia="Calibri" w:hAnsi="Calibri"/>
          <w:color w:val="1F2937"/>
          <w:sz w:val="21"/>
          <w:szCs w:val="21"/>
        </w:rPr>
        <w:t xml:space="preserve">Written responses to the 21 open review comments placed in the document on July 6 and July 8</w:t>
      </w:r>
    </w:p>
    <w:p>
      <w:pPr>
        <w:pStyle w:val="ListParagraph"/>
        <w:numPr>
          <w:ilvl w:val="0"/>
          <w:numId w:val="2"/>
        </w:numPr>
        <w:spacing w:after="60" w:line="264"/>
      </w:pPr>
      <w:r>
        <w:rPr>
          <w:rFonts w:ascii="Calibri" w:cs="Calibri" w:eastAsia="Calibri" w:hAnsi="Calibri"/>
          <w:color w:val="1F2937"/>
          <w:sz w:val="21"/>
          <w:szCs w:val="21"/>
        </w:rPr>
        <w:t xml:space="preserve">Team staffed: data engineering lead, senior data engineer, backend developers, DevOps engineer</w:t>
      </w:r>
    </w:p>
    <w:p>
      <w:pPr>
        <w:keepNext/>
        <w:spacing w:after="60" w:before="120"/>
      </w:pPr>
      <w:r>
        <w:rPr>
          <w:rFonts w:ascii="Calibri" w:cs="Calibri" w:eastAsia="Calibri" w:hAnsi="Calibri"/>
          <w:b/>
          <w:bCs/>
          <w:color w:val="5A6B7B"/>
          <w:sz w:val="21"/>
          <w:szCs w:val="21"/>
        </w:rPr>
        <w:t xml:space="preserve">Exit criteria</w:t>
      </w:r>
    </w:p>
    <w:p>
      <w:pPr>
        <w:pStyle w:val="ListParagraph"/>
        <w:numPr>
          <w:ilvl w:val="0"/>
          <w:numId w:val="2"/>
        </w:numPr>
        <w:spacing w:after="60" w:line="264"/>
      </w:pPr>
      <w:r>
        <w:rPr>
          <w:rFonts w:ascii="Calibri" w:cs="Calibri" w:eastAsia="Calibri" w:hAnsi="Calibri"/>
          <w:color w:val="1F2937"/>
          <w:sz w:val="21"/>
          <w:szCs w:val="21"/>
        </w:rPr>
        <w:t xml:space="preserve">KT session held and recorded; codebase access granted</w:t>
      </w:r>
    </w:p>
    <w:p>
      <w:pPr>
        <w:pStyle w:val="ListParagraph"/>
        <w:numPr>
          <w:ilvl w:val="0"/>
          <w:numId w:val="2"/>
        </w:numPr>
        <w:spacing w:after="60" w:line="264"/>
      </w:pPr>
      <w:r>
        <w:rPr>
          <w:rFonts w:ascii="Calibri" w:cs="Calibri" w:eastAsia="Calibri" w:hAnsi="Calibri"/>
          <w:color w:val="1F2937"/>
          <w:sz w:val="21"/>
          <w:szCs w:val="21"/>
        </w:rPr>
        <w:t xml:space="preserve">Current infrastructure state documented</w:t>
      </w:r>
    </w:p>
    <w:p>
      <w:pPr>
        <w:pStyle w:val="ListParagraph"/>
        <w:numPr>
          <w:ilvl w:val="0"/>
          <w:numId w:val="2"/>
        </w:numPr>
        <w:spacing w:after="60" w:line="264"/>
      </w:pPr>
      <w:r>
        <w:rPr>
          <w:rFonts w:ascii="Calibri" w:cs="Calibri" w:eastAsia="Calibri" w:hAnsi="Calibri"/>
          <w:color w:val="1F2937"/>
          <w:sz w:val="21"/>
          <w:szCs w:val="21"/>
        </w:rPr>
        <w:t xml:space="preserve">Team in place; delivery estimates are produced only after this phase completes</w:t>
      </w:r>
    </w:p>
    <w:p>
      <w:pPr>
        <w:pStyle w:val="Heading2"/>
        <w:keepNext/>
        <w:spacing w:after="120" w:before="280"/>
      </w:pPr>
      <w:r>
        <w:rPr>
          <w:rFonts w:ascii="Calibri" w:cs="Calibri" w:eastAsia="Calibri" w:hAnsi="Calibri"/>
          <w:b/>
          <w:bCs/>
          <w:color w:val="0F3B5C"/>
          <w:sz w:val="25"/>
          <w:szCs w:val="25"/>
        </w:rPr>
        <w:t xml:space="preserve">Phase 1 - Foundation and Reference Pipeline</w:t>
      </w:r>
    </w:p>
    <w:p>
      <w:pPr>
        <w:spacing w:after="120" w:line="276"/>
      </w:pPr>
      <w:r>
        <w:rPr>
          <w:rFonts w:ascii="Calibri" w:cs="Calibri" w:eastAsia="Calibri" w:hAnsi="Calibri"/>
          <w:b/>
          <w:bCs/>
          <w:color w:val="5A6B7B"/>
          <w:sz w:val="21"/>
          <w:szCs w:val="21"/>
        </w:rPr>
        <w:t xml:space="preserve">Objective:  </w:t>
      </w:r>
      <w:r>
        <w:rPr>
          <w:rFonts w:ascii="Calibri" w:cs="Calibri" w:eastAsia="Calibri" w:hAnsi="Calibri"/>
          <w:color w:val="1F2937"/>
          <w:sz w:val="21"/>
          <w:szCs w:val="21"/>
        </w:rPr>
        <w:t xml:space="preserve">One production-quality pipeline, built by hand, running daily on the cloud platform. This pipeline becomes the source material for every template the factory will later use.</w:t>
      </w:r>
    </w:p>
    <w:p>
      <w:pPr>
        <w:keepNext/>
        <w:spacing w:after="60" w:before="120"/>
      </w:pPr>
      <w:r>
        <w:rPr>
          <w:rFonts w:ascii="Calibri" w:cs="Calibri" w:eastAsia="Calibri" w:hAnsi="Calibri"/>
          <w:b/>
          <w:bCs/>
          <w:color w:val="5A6B7B"/>
          <w:sz w:val="21"/>
          <w:szCs w:val="21"/>
        </w:rPr>
        <w:t xml:space="preserve">Scope</w:t>
      </w:r>
    </w:p>
    <w:p>
      <w:pPr>
        <w:pStyle w:val="ListParagraph"/>
        <w:numPr>
          <w:ilvl w:val="0"/>
          <w:numId w:val="2"/>
        </w:numPr>
        <w:spacing w:after="60" w:line="264"/>
      </w:pPr>
      <w:r>
        <w:rPr>
          <w:rFonts w:ascii="Calibri" w:cs="Calibri" w:eastAsia="Calibri" w:hAnsi="Calibri"/>
          <w:color w:val="1F2937"/>
          <w:sz w:val="21"/>
          <w:szCs w:val="21"/>
        </w:rPr>
        <w:t xml:space="preserve">Environment provisioned through infrastructure-as-code: workspace, Bronze and CURATE storage zones, secrets vault, Git repositories, CI pipeline</w:t>
      </w:r>
      <w:r>
        <w:rPr>
          <w:rFonts w:ascii="Calibri" w:cs="Calibri" w:eastAsia="Calibri" w:hAnsi="Calibri"/>
          <w:color w:val="5A6B7B"/>
          <w:sz w:val="20"/>
          <w:szCs w:val="20"/>
        </w:rPr>
        <w:t xml:space="preserve">  (Sec 9.1)</w:t>
      </w:r>
    </w:p>
    <w:p>
      <w:pPr>
        <w:pStyle w:val="ListParagraph"/>
        <w:numPr>
          <w:ilvl w:val="0"/>
          <w:numId w:val="2"/>
        </w:numPr>
        <w:spacing w:after="60" w:line="264"/>
      </w:pPr>
      <w:r>
        <w:rPr>
          <w:rFonts w:ascii="Calibri" w:cs="Calibri" w:eastAsia="Calibri" w:hAnsi="Calibri"/>
          <w:color w:val="1F2937"/>
          <w:sz w:val="21"/>
          <w:szCs w:val="21"/>
        </w:rPr>
        <w:t xml:space="preserve">Metadata store designed and deployed: source registry, entity configuration, run history</w:t>
      </w:r>
      <w:r>
        <w:rPr>
          <w:rFonts w:ascii="Calibri" w:cs="Calibri" w:eastAsia="Calibri" w:hAnsi="Calibri"/>
          <w:color w:val="5A6B7B"/>
          <w:sz w:val="20"/>
          <w:szCs w:val="20"/>
        </w:rPr>
        <w:t xml:space="preserve">  (Sec 9.1)</w:t>
      </w:r>
    </w:p>
    <w:p>
      <w:pPr>
        <w:pStyle w:val="ListParagraph"/>
        <w:numPr>
          <w:ilvl w:val="0"/>
          <w:numId w:val="2"/>
        </w:numPr>
        <w:spacing w:after="60" w:line="264"/>
      </w:pPr>
      <w:r>
        <w:rPr>
          <w:rFonts w:ascii="Calibri" w:cs="Calibri" w:eastAsia="Calibri" w:hAnsi="Calibri"/>
          <w:color w:val="1F2937"/>
          <w:sz w:val="21"/>
          <w:szCs w:val="21"/>
        </w:rPr>
        <w:t xml:space="preserve">Naming and audit-column standard authored and circulated for review</w:t>
      </w:r>
      <w:r>
        <w:rPr>
          <w:rFonts w:ascii="Calibri" w:cs="Calibri" w:eastAsia="Calibri" w:hAnsi="Calibri"/>
          <w:color w:val="5A6B7B"/>
          <w:sz w:val="20"/>
          <w:szCs w:val="20"/>
        </w:rPr>
        <w:t xml:space="preserve">  (FR-02.3, Sec 6.2)</w:t>
      </w:r>
    </w:p>
    <w:p>
      <w:pPr>
        <w:pStyle w:val="ListParagraph"/>
        <w:numPr>
          <w:ilvl w:val="0"/>
          <w:numId w:val="2"/>
        </w:numPr>
        <w:spacing w:after="60" w:line="264"/>
      </w:pPr>
      <w:r>
        <w:rPr>
          <w:rFonts w:ascii="Calibri" w:cs="Calibri" w:eastAsia="Calibri" w:hAnsi="Calibri"/>
          <w:color w:val="1F2937"/>
          <w:sz w:val="21"/>
          <w:szCs w:val="21"/>
        </w:rPr>
        <w:t xml:space="preserve">Reference pipeline from a database source: raw immutable Bronze landing with audit columns</w:t>
      </w:r>
      <w:r>
        <w:rPr>
          <w:rFonts w:ascii="Calibri" w:cs="Calibri" w:eastAsia="Calibri" w:hAnsi="Calibri"/>
          <w:color w:val="5A6B7B"/>
          <w:sz w:val="20"/>
          <w:szCs w:val="20"/>
        </w:rPr>
        <w:t xml:space="preserve">  (FR-02.4)</w:t>
      </w:r>
    </w:p>
    <w:p>
      <w:pPr>
        <w:pStyle w:val="ListParagraph"/>
        <w:numPr>
          <w:ilvl w:val="0"/>
          <w:numId w:val="2"/>
        </w:numPr>
        <w:spacing w:after="60" w:line="264"/>
      </w:pPr>
      <w:r>
        <w:rPr>
          <w:rFonts w:ascii="Calibri" w:cs="Calibri" w:eastAsia="Calibri" w:hAnsi="Calibri"/>
          <w:color w:val="1F2937"/>
          <w:sz w:val="21"/>
          <w:szCs w:val="21"/>
        </w:rPr>
        <w:t xml:space="preserve">CURATE layer logic: type casting, standardisation, deduplication, quality checks with quarantine</w:t>
      </w:r>
      <w:r>
        <w:rPr>
          <w:rFonts w:ascii="Calibri" w:cs="Calibri" w:eastAsia="Calibri" w:hAnsi="Calibri"/>
          <w:color w:val="5A6B7B"/>
          <w:sz w:val="20"/>
          <w:szCs w:val="20"/>
        </w:rPr>
        <w:t xml:space="preserve">  (FR-02.5)</w:t>
      </w:r>
    </w:p>
    <w:p>
      <w:pPr>
        <w:pStyle w:val="ListParagraph"/>
        <w:numPr>
          <w:ilvl w:val="0"/>
          <w:numId w:val="2"/>
        </w:numPr>
        <w:spacing w:after="60" w:line="264"/>
      </w:pPr>
      <w:r>
        <w:rPr>
          <w:rFonts w:ascii="Calibri" w:cs="Calibri" w:eastAsia="Calibri" w:hAnsi="Calibri"/>
          <w:color w:val="1F2937"/>
          <w:sz w:val="21"/>
          <w:szCs w:val="21"/>
        </w:rPr>
        <w:t xml:space="preserve">Watermark-based incremental load with merge semantics; idempotency proven by checksum</w:t>
      </w:r>
      <w:r>
        <w:rPr>
          <w:rFonts w:ascii="Calibri" w:cs="Calibri" w:eastAsia="Calibri" w:hAnsi="Calibri"/>
          <w:color w:val="5A6B7B"/>
          <w:sz w:val="20"/>
          <w:szCs w:val="20"/>
        </w:rPr>
        <w:t xml:space="preserve">  (FR-03.1, FR-03.2, NFR-04)</w:t>
      </w:r>
    </w:p>
    <w:p>
      <w:pPr>
        <w:pStyle w:val="ListParagraph"/>
        <w:numPr>
          <w:ilvl w:val="0"/>
          <w:numId w:val="2"/>
        </w:numPr>
        <w:spacing w:after="60" w:line="264"/>
      </w:pPr>
      <w:r>
        <w:rPr>
          <w:rFonts w:ascii="Calibri" w:cs="Calibri" w:eastAsia="Calibri" w:hAnsi="Calibri"/>
          <w:color w:val="1F2937"/>
          <w:sz w:val="21"/>
          <w:szCs w:val="21"/>
        </w:rPr>
        <w:t xml:space="preserve">Second reference pipeline for a file-based source to remove database-specific assumptions</w:t>
      </w:r>
    </w:p>
    <w:p>
      <w:pPr>
        <w:pStyle w:val="ListParagraph"/>
        <w:numPr>
          <w:ilvl w:val="0"/>
          <w:numId w:val="2"/>
        </w:numPr>
        <w:spacing w:after="60" w:line="264"/>
      </w:pPr>
      <w:r>
        <w:rPr>
          <w:rFonts w:ascii="Calibri" w:cs="Calibri" w:eastAsia="Calibri" w:hAnsi="Calibri"/>
          <w:color w:val="1F2937"/>
          <w:sz w:val="21"/>
          <w:szCs w:val="21"/>
        </w:rPr>
        <w:t xml:space="preserve">Hands-on platform training for the software developers, led by the senior data engineer</w:t>
      </w:r>
    </w:p>
    <w:p>
      <w:pPr>
        <w:keepNext/>
        <w:spacing w:after="60" w:before="120"/>
      </w:pPr>
      <w:r>
        <w:rPr>
          <w:rFonts w:ascii="Calibri" w:cs="Calibri" w:eastAsia="Calibri" w:hAnsi="Calibri"/>
          <w:b/>
          <w:bCs/>
          <w:color w:val="5A6B7B"/>
          <w:sz w:val="21"/>
          <w:szCs w:val="21"/>
        </w:rPr>
        <w:t xml:space="preserve">Exit criteria</w:t>
      </w:r>
    </w:p>
    <w:p>
      <w:pPr>
        <w:pStyle w:val="ListParagraph"/>
        <w:numPr>
          <w:ilvl w:val="0"/>
          <w:numId w:val="2"/>
        </w:numPr>
        <w:spacing w:after="60" w:line="264"/>
      </w:pPr>
      <w:r>
        <w:rPr>
          <w:rFonts w:ascii="Calibri" w:cs="Calibri" w:eastAsia="Calibri" w:hAnsi="Calibri"/>
          <w:color w:val="1F2937"/>
          <w:sz w:val="21"/>
          <w:szCs w:val="21"/>
        </w:rPr>
        <w:t xml:space="preserve">Environment can be destroyed and rebuilt from scripts within a day</w:t>
      </w:r>
    </w:p>
    <w:p>
      <w:pPr>
        <w:pStyle w:val="ListParagraph"/>
        <w:numPr>
          <w:ilvl w:val="0"/>
          <w:numId w:val="2"/>
        </w:numPr>
        <w:spacing w:after="60" w:line="264"/>
      </w:pPr>
      <w:r>
        <w:rPr>
          <w:rFonts w:ascii="Calibri" w:cs="Calibri" w:eastAsia="Calibri" w:hAnsi="Calibri"/>
          <w:color w:val="1F2937"/>
          <w:sz w:val="21"/>
          <w:szCs w:val="21"/>
        </w:rPr>
        <w:t xml:space="preserve">Reference pipeline runs daily over a sustained period without manual intervention</w:t>
      </w:r>
    </w:p>
    <w:p>
      <w:pPr>
        <w:pStyle w:val="ListParagraph"/>
        <w:numPr>
          <w:ilvl w:val="0"/>
          <w:numId w:val="2"/>
        </w:numPr>
        <w:spacing w:after="60" w:line="264"/>
      </w:pPr>
      <w:r>
        <w:rPr>
          <w:rFonts w:ascii="Calibri" w:cs="Calibri" w:eastAsia="Calibri" w:hAnsi="Calibri"/>
          <w:color w:val="1F2937"/>
          <w:sz w:val="21"/>
          <w:szCs w:val="21"/>
        </w:rPr>
        <w:t xml:space="preserve">Re-running a batch produces zero duplicates, proven by checksum</w:t>
      </w:r>
    </w:p>
    <w:p>
      <w:pPr>
        <w:pStyle w:val="ListParagraph"/>
        <w:numPr>
          <w:ilvl w:val="0"/>
          <w:numId w:val="2"/>
        </w:numPr>
        <w:spacing w:after="60" w:line="264"/>
      </w:pPr>
      <w:r>
        <w:rPr>
          <w:rFonts w:ascii="Calibri" w:cs="Calibri" w:eastAsia="Calibri" w:hAnsi="Calibri"/>
          <w:color w:val="1F2937"/>
          <w:sz w:val="21"/>
          <w:szCs w:val="21"/>
        </w:rPr>
        <w:t xml:space="preserve">Failed records land in quarantine with recorded reasons</w:t>
      </w:r>
    </w:p>
    <w:p>
      <w:pPr>
        <w:pStyle w:val="ListParagraph"/>
        <w:numPr>
          <w:ilvl w:val="0"/>
          <w:numId w:val="2"/>
        </w:numPr>
        <w:spacing w:after="60" w:line="264"/>
      </w:pPr>
      <w:r>
        <w:rPr>
          <w:rFonts w:ascii="Calibri" w:cs="Calibri" w:eastAsia="Calibri" w:hAnsi="Calibri"/>
          <w:color w:val="1F2937"/>
          <w:sz w:val="21"/>
          <w:szCs w:val="21"/>
        </w:rPr>
        <w:t xml:space="preserve">Every developer can explain the pipeline design without assistance</w:t>
      </w:r>
    </w:p>
    <w:p>
      <w:pPr>
        <w:pStyle w:val="ListParagraph"/>
        <w:numPr>
          <w:ilvl w:val="0"/>
          <w:numId w:val="2"/>
        </w:numPr>
        <w:spacing w:after="60" w:line="264"/>
      </w:pPr>
      <w:r>
        <w:rPr>
          <w:rFonts w:ascii="Calibri" w:cs="Calibri" w:eastAsia="Calibri" w:hAnsi="Calibri"/>
          <w:color w:val="1F2937"/>
          <w:sz w:val="21"/>
          <w:szCs w:val="21"/>
        </w:rPr>
        <w:t xml:space="preserve">Demonstration delivered to stakeholders</w:t>
      </w:r>
    </w:p>
    <w:p>
      <w:pPr>
        <w:pStyle w:val="Heading2"/>
        <w:keepNext/>
        <w:spacing w:after="120" w:before="280"/>
      </w:pPr>
      <w:r>
        <w:rPr>
          <w:rFonts w:ascii="Calibri" w:cs="Calibri" w:eastAsia="Calibri" w:hAnsi="Calibri"/>
          <w:b/>
          <w:bCs/>
          <w:color w:val="0F3B5C"/>
          <w:sz w:val="25"/>
          <w:szCs w:val="25"/>
        </w:rPr>
        <w:t xml:space="preserve">Phase 2 - Metadata-Driven Pipeline Factory</w:t>
      </w:r>
    </w:p>
    <w:p>
      <w:pPr>
        <w:spacing w:after="120" w:line="276"/>
      </w:pPr>
      <w:r>
        <w:rPr>
          <w:rFonts w:ascii="Calibri" w:cs="Calibri" w:eastAsia="Calibri" w:hAnsi="Calibri"/>
          <w:b/>
          <w:bCs/>
          <w:color w:val="5A6B7B"/>
          <w:sz w:val="21"/>
          <w:szCs w:val="21"/>
        </w:rPr>
        <w:t xml:space="preserve">Objective:  </w:t>
      </w:r>
      <w:r>
        <w:rPr>
          <w:rFonts w:ascii="Calibri" w:cs="Calibri" w:eastAsia="Calibri" w:hAnsi="Calibri"/>
          <w:color w:val="1F2937"/>
          <w:sz w:val="21"/>
          <w:szCs w:val="21"/>
        </w:rPr>
        <w:t xml:space="preserve">Pipelines are generated from configuration alone, with no hand-written code and, at this stage, no LLM involvement. This phase creates the template library the entire requirements document depends on.</w:t>
      </w:r>
    </w:p>
    <w:p>
      <w:pPr>
        <w:keepNext/>
        <w:spacing w:after="60" w:before="120"/>
      </w:pPr>
      <w:r>
        <w:rPr>
          <w:rFonts w:ascii="Calibri" w:cs="Calibri" w:eastAsia="Calibri" w:hAnsi="Calibri"/>
          <w:b/>
          <w:bCs/>
          <w:color w:val="5A6B7B"/>
          <w:sz w:val="21"/>
          <w:szCs w:val="21"/>
        </w:rPr>
        <w:t xml:space="preserve">Scope</w:t>
      </w:r>
    </w:p>
    <w:p>
      <w:pPr>
        <w:pStyle w:val="ListParagraph"/>
        <w:numPr>
          <w:ilvl w:val="0"/>
          <w:numId w:val="2"/>
        </w:numPr>
        <w:spacing w:after="60" w:line="264"/>
      </w:pPr>
      <w:r>
        <w:rPr>
          <w:rFonts w:ascii="Calibri" w:cs="Calibri" w:eastAsia="Calibri" w:hAnsi="Calibri"/>
          <w:color w:val="1F2937"/>
          <w:sz w:val="21"/>
          <w:szCs w:val="21"/>
        </w:rPr>
        <w:t xml:space="preserve">Template library extracted from the reference pipelines and placed under version control</w:t>
      </w:r>
      <w:r>
        <w:rPr>
          <w:rFonts w:ascii="Calibri" w:cs="Calibri" w:eastAsia="Calibri" w:hAnsi="Calibri"/>
          <w:color w:val="5A6B7B"/>
          <w:sz w:val="20"/>
          <w:szCs w:val="20"/>
        </w:rPr>
        <w:t xml:space="preserve">  (FR-02.2)</w:t>
      </w:r>
    </w:p>
    <w:p>
      <w:pPr>
        <w:pStyle w:val="ListParagraph"/>
        <w:numPr>
          <w:ilvl w:val="0"/>
          <w:numId w:val="2"/>
        </w:numPr>
        <w:spacing w:after="60" w:line="264"/>
      </w:pPr>
      <w:r>
        <w:rPr>
          <w:rFonts w:ascii="Calibri" w:cs="Calibri" w:eastAsia="Calibri" w:hAnsi="Calibri"/>
          <w:color w:val="1F2937"/>
          <w:sz w:val="21"/>
          <w:szCs w:val="21"/>
        </w:rPr>
        <w:t xml:space="preserve">Generator engine: configuration in, complete pipeline code and orchestration definitions out</w:t>
      </w:r>
      <w:r>
        <w:rPr>
          <w:rFonts w:ascii="Calibri" w:cs="Calibri" w:eastAsia="Calibri" w:hAnsi="Calibri"/>
          <w:color w:val="5A6B7B"/>
          <w:sz w:val="20"/>
          <w:szCs w:val="20"/>
        </w:rPr>
        <w:t xml:space="preserve">  (FR-02.1)</w:t>
      </w:r>
    </w:p>
    <w:p>
      <w:pPr>
        <w:pStyle w:val="ListParagraph"/>
        <w:numPr>
          <w:ilvl w:val="0"/>
          <w:numId w:val="2"/>
        </w:numPr>
        <w:spacing w:after="60" w:line="264"/>
      </w:pPr>
      <w:r>
        <w:rPr>
          <w:rFonts w:ascii="Calibri" w:cs="Calibri" w:eastAsia="Calibri" w:hAnsi="Calibri"/>
          <w:color w:val="1F2937"/>
          <w:sz w:val="21"/>
          <w:szCs w:val="21"/>
        </w:rPr>
        <w:t xml:space="preserve">Naming convention applied automatically to all generated objects</w:t>
      </w:r>
      <w:r>
        <w:rPr>
          <w:rFonts w:ascii="Calibri" w:cs="Calibri" w:eastAsia="Calibri" w:hAnsi="Calibri"/>
          <w:color w:val="5A6B7B"/>
          <w:sz w:val="20"/>
          <w:szCs w:val="20"/>
        </w:rPr>
        <w:t xml:space="preserve">  (FR-02.3)</w:t>
      </w:r>
    </w:p>
    <w:p>
      <w:pPr>
        <w:pStyle w:val="ListParagraph"/>
        <w:numPr>
          <w:ilvl w:val="0"/>
          <w:numId w:val="2"/>
        </w:numPr>
        <w:spacing w:after="60" w:line="264"/>
      </w:pPr>
      <w:r>
        <w:rPr>
          <w:rFonts w:ascii="Calibri" w:cs="Calibri" w:eastAsia="Calibri" w:hAnsi="Calibri"/>
          <w:color w:val="1F2937"/>
          <w:sz w:val="21"/>
          <w:szCs w:val="21"/>
        </w:rPr>
        <w:t xml:space="preserve">Every generated pipeline committed to Git as a pull request with a design summary</w:t>
      </w:r>
      <w:r>
        <w:rPr>
          <w:rFonts w:ascii="Calibri" w:cs="Calibri" w:eastAsia="Calibri" w:hAnsi="Calibri"/>
          <w:color w:val="5A6B7B"/>
          <w:sz w:val="20"/>
          <w:szCs w:val="20"/>
        </w:rPr>
        <w:t xml:space="preserve">  (FR-02.7)</w:t>
      </w:r>
    </w:p>
    <w:p>
      <w:pPr>
        <w:pStyle w:val="ListParagraph"/>
        <w:numPr>
          <w:ilvl w:val="0"/>
          <w:numId w:val="2"/>
        </w:numPr>
        <w:spacing w:after="60" w:line="264"/>
      </w:pPr>
      <w:r>
        <w:rPr>
          <w:rFonts w:ascii="Calibri" w:cs="Calibri" w:eastAsia="Calibri" w:hAnsi="Calibri"/>
          <w:color w:val="1F2937"/>
          <w:sz w:val="21"/>
          <w:szCs w:val="21"/>
        </w:rPr>
        <w:t xml:space="preserve">Sandbox validator: row counts, type fidelity and idempotency checked before promotion</w:t>
      </w:r>
      <w:r>
        <w:rPr>
          <w:rFonts w:ascii="Calibri" w:cs="Calibri" w:eastAsia="Calibri" w:hAnsi="Calibri"/>
          <w:color w:val="5A6B7B"/>
          <w:sz w:val="20"/>
          <w:szCs w:val="20"/>
        </w:rPr>
        <w:t xml:space="preserve">  (AC-03)</w:t>
      </w:r>
    </w:p>
    <w:p>
      <w:pPr>
        <w:pStyle w:val="ListParagraph"/>
        <w:numPr>
          <w:ilvl w:val="0"/>
          <w:numId w:val="2"/>
        </w:numPr>
        <w:spacing w:after="60" w:line="264"/>
      </w:pPr>
      <w:r>
        <w:rPr>
          <w:rFonts w:ascii="Calibri" w:cs="Calibri" w:eastAsia="Calibri" w:hAnsi="Calibri"/>
          <w:color w:val="1F2937"/>
          <w:sz w:val="21"/>
          <w:szCs w:val="21"/>
        </w:rPr>
        <w:t xml:space="preserve">Baseline data quality rules generated per entity, with quarantine store and per-run scorecard</w:t>
      </w:r>
      <w:r>
        <w:rPr>
          <w:rFonts w:ascii="Calibri" w:cs="Calibri" w:eastAsia="Calibri" w:hAnsi="Calibri"/>
          <w:color w:val="5A6B7B"/>
          <w:sz w:val="20"/>
          <w:szCs w:val="20"/>
        </w:rPr>
        <w:t xml:space="preserve">  (FR-04.1, FR-04.3, FR-04.4; AC-05)</w:t>
      </w:r>
    </w:p>
    <w:p>
      <w:pPr>
        <w:pStyle w:val="ListParagraph"/>
        <w:numPr>
          <w:ilvl w:val="0"/>
          <w:numId w:val="2"/>
        </w:numPr>
        <w:spacing w:after="60" w:line="264"/>
      </w:pPr>
      <w:r>
        <w:rPr>
          <w:rFonts w:ascii="Calibri" w:cs="Calibri" w:eastAsia="Calibri" w:hAnsi="Calibri"/>
          <w:color w:val="1F2937"/>
          <w:sz w:val="21"/>
          <w:szCs w:val="21"/>
        </w:rPr>
        <w:t xml:space="preserve">REST API first release: request a pipeline, run it, query status</w:t>
      </w:r>
      <w:r>
        <w:rPr>
          <w:rFonts w:ascii="Calibri" w:cs="Calibri" w:eastAsia="Calibri" w:hAnsi="Calibri"/>
          <w:color w:val="5A6B7B"/>
          <w:sz w:val="20"/>
          <w:szCs w:val="20"/>
        </w:rPr>
        <w:t xml:space="preserve">  (FR-08.1 partial)</w:t>
      </w:r>
    </w:p>
    <w:p>
      <w:pPr>
        <w:keepNext/>
        <w:spacing w:after="60" w:before="120"/>
      </w:pPr>
      <w:r>
        <w:rPr>
          <w:rFonts w:ascii="Calibri" w:cs="Calibri" w:eastAsia="Calibri" w:hAnsi="Calibri"/>
          <w:b/>
          <w:bCs/>
          <w:color w:val="5A6B7B"/>
          <w:sz w:val="21"/>
          <w:szCs w:val="21"/>
        </w:rPr>
        <w:t xml:space="preserve">Exit criteria</w:t>
      </w:r>
    </w:p>
    <w:p>
      <w:pPr>
        <w:pStyle w:val="ListParagraph"/>
        <w:numPr>
          <w:ilvl w:val="0"/>
          <w:numId w:val="2"/>
        </w:numPr>
        <w:spacing w:after="60" w:line="264"/>
      </w:pPr>
      <w:r>
        <w:rPr>
          <w:rFonts w:ascii="Calibri" w:cs="Calibri" w:eastAsia="Calibri" w:hAnsi="Calibri"/>
          <w:color w:val="1F2937"/>
          <w:sz w:val="21"/>
          <w:szCs w:val="21"/>
        </w:rPr>
        <w:t xml:space="preserve">Ten new tables onboarded from configuration files only, with zero hand-written code</w:t>
      </w:r>
    </w:p>
    <w:p>
      <w:pPr>
        <w:pStyle w:val="ListParagraph"/>
        <w:numPr>
          <w:ilvl w:val="0"/>
          <w:numId w:val="2"/>
        </w:numPr>
        <w:spacing w:after="60" w:line="264"/>
      </w:pPr>
      <w:r>
        <w:rPr>
          <w:rFonts w:ascii="Calibri" w:cs="Calibri" w:eastAsia="Calibri" w:hAnsi="Calibri"/>
          <w:color w:val="1F2937"/>
          <w:sz w:val="21"/>
          <w:szCs w:val="21"/>
        </w:rPr>
        <w:t xml:space="preserve">Validator blocks a deliberately faulty pipeline from promotion</w:t>
      </w:r>
    </w:p>
    <w:p>
      <w:pPr>
        <w:pStyle w:val="ListParagraph"/>
        <w:numPr>
          <w:ilvl w:val="0"/>
          <w:numId w:val="2"/>
        </w:numPr>
        <w:spacing w:after="60" w:line="264"/>
      </w:pPr>
      <w:r>
        <w:rPr>
          <w:rFonts w:ascii="Calibri" w:cs="Calibri" w:eastAsia="Calibri" w:hAnsi="Calibri"/>
          <w:color w:val="1F2937"/>
          <w:sz w:val="21"/>
          <w:szCs w:val="21"/>
        </w:rPr>
        <w:t xml:space="preserve">Quality scorecard produced for every run</w:t>
      </w:r>
    </w:p>
    <w:p>
      <w:pPr>
        <w:pStyle w:val="Heading2"/>
        <w:keepNext/>
        <w:spacing w:after="120" w:before="280"/>
      </w:pPr>
      <w:r>
        <w:rPr>
          <w:rFonts w:ascii="Calibri" w:cs="Calibri" w:eastAsia="Calibri" w:hAnsi="Calibri"/>
          <w:b/>
          <w:bCs/>
          <w:color w:val="0F3B5C"/>
          <w:sz w:val="25"/>
          <w:szCs w:val="25"/>
        </w:rPr>
        <w:t xml:space="preserve">Phase 3 - AI Layer and First Production Deployment</w:t>
      </w:r>
    </w:p>
    <w:p>
      <w:pPr>
        <w:spacing w:after="120" w:line="276"/>
      </w:pPr>
      <w:r>
        <w:rPr>
          <w:rFonts w:ascii="Calibri" w:cs="Calibri" w:eastAsia="Calibri" w:hAnsi="Calibri"/>
          <w:b/>
          <w:bCs/>
          <w:color w:val="5A6B7B"/>
          <w:sz w:val="21"/>
          <w:szCs w:val="21"/>
        </w:rPr>
        <w:t xml:space="preserve">Objective:  </w:t>
      </w:r>
      <w:r>
        <w:rPr>
          <w:rFonts w:ascii="Calibri" w:cs="Calibri" w:eastAsia="Calibri" w:hAnsi="Calibri"/>
          <w:color w:val="1F2937"/>
          <w:sz w:val="21"/>
          <w:szCs w:val="21"/>
        </w:rPr>
        <w:t xml:space="preserve">The agent capabilities are added on top of the proven factory, and the first real source goes live in production behind a human approval gate.</w:t>
      </w:r>
    </w:p>
    <w:p>
      <w:pPr>
        <w:keepNext/>
        <w:spacing w:after="60" w:before="120"/>
      </w:pPr>
      <w:r>
        <w:rPr>
          <w:rFonts w:ascii="Calibri" w:cs="Calibri" w:eastAsia="Calibri" w:hAnsi="Calibri"/>
          <w:b/>
          <w:bCs/>
          <w:color w:val="5A6B7B"/>
          <w:sz w:val="21"/>
          <w:szCs w:val="21"/>
        </w:rPr>
        <w:t xml:space="preserve">Scope</w:t>
      </w:r>
    </w:p>
    <w:p>
      <w:pPr>
        <w:pStyle w:val="ListParagraph"/>
        <w:numPr>
          <w:ilvl w:val="0"/>
          <w:numId w:val="2"/>
        </w:numPr>
        <w:spacing w:after="60" w:line="264"/>
      </w:pPr>
      <w:r>
        <w:rPr>
          <w:rFonts w:ascii="Calibri" w:cs="Calibri" w:eastAsia="Calibri" w:hAnsi="Calibri"/>
          <w:color w:val="1F2937"/>
          <w:sz w:val="21"/>
          <w:szCs w:val="21"/>
        </w:rPr>
        <w:t xml:space="preserve">Profiler: connects to a declared source, profiles schemas, volumes, keys and update patterns</w:t>
      </w:r>
      <w:r>
        <w:rPr>
          <w:rFonts w:ascii="Calibri" w:cs="Calibri" w:eastAsia="Calibri" w:hAnsi="Calibri"/>
          <w:color w:val="5A6B7B"/>
          <w:sz w:val="20"/>
          <w:szCs w:val="20"/>
        </w:rPr>
        <w:t xml:space="preserve">  (FR-01.1, FR-01.2)</w:t>
      </w:r>
    </w:p>
    <w:p>
      <w:pPr>
        <w:pStyle w:val="ListParagraph"/>
        <w:numPr>
          <w:ilvl w:val="0"/>
          <w:numId w:val="2"/>
        </w:numPr>
        <w:spacing w:after="60" w:line="264"/>
      </w:pPr>
      <w:r>
        <w:rPr>
          <w:rFonts w:ascii="Calibri" w:cs="Calibri" w:eastAsia="Calibri" w:hAnsi="Calibri"/>
          <w:color w:val="1F2937"/>
          <w:sz w:val="21"/>
          <w:szCs w:val="21"/>
        </w:rPr>
        <w:t xml:space="preserve">Load-strategy recommendation with written rationale, produced from profiling results</w:t>
      </w:r>
      <w:r>
        <w:rPr>
          <w:rFonts w:ascii="Calibri" w:cs="Calibri" w:eastAsia="Calibri" w:hAnsi="Calibri"/>
          <w:color w:val="5A6B7B"/>
          <w:sz w:val="20"/>
          <w:szCs w:val="20"/>
        </w:rPr>
        <w:t xml:space="preserve">  (FR-01.3)</w:t>
      </w:r>
    </w:p>
    <w:p>
      <w:pPr>
        <w:pStyle w:val="ListParagraph"/>
        <w:numPr>
          <w:ilvl w:val="0"/>
          <w:numId w:val="2"/>
        </w:numPr>
        <w:spacing w:after="60" w:line="264"/>
      </w:pPr>
      <w:r>
        <w:rPr>
          <w:rFonts w:ascii="Calibri" w:cs="Calibri" w:eastAsia="Calibri" w:hAnsi="Calibri"/>
          <w:color w:val="1F2937"/>
          <w:sz w:val="21"/>
          <w:szCs w:val="21"/>
        </w:rPr>
        <w:t xml:space="preserve">Columns likely to contain PII flagged during profiling for steward review</w:t>
      </w:r>
      <w:r>
        <w:rPr>
          <w:rFonts w:ascii="Calibri" w:cs="Calibri" w:eastAsia="Calibri" w:hAnsi="Calibri"/>
          <w:color w:val="5A6B7B"/>
          <w:sz w:val="20"/>
          <w:szCs w:val="20"/>
        </w:rPr>
        <w:t xml:space="preserve">  (FR-01.4)</w:t>
      </w:r>
    </w:p>
    <w:p>
      <w:pPr>
        <w:pStyle w:val="ListParagraph"/>
        <w:numPr>
          <w:ilvl w:val="0"/>
          <w:numId w:val="2"/>
        </w:numPr>
        <w:spacing w:after="60" w:line="264"/>
      </w:pPr>
      <w:r>
        <w:rPr>
          <w:rFonts w:ascii="Calibri" w:cs="Calibri" w:eastAsia="Calibri" w:hAnsi="Calibri"/>
          <w:color w:val="1F2937"/>
          <w:sz w:val="21"/>
          <w:szCs w:val="21"/>
        </w:rPr>
        <w:t xml:space="preserve">LLM-assisted template completion, constrained to approved templates only</w:t>
      </w:r>
      <w:r>
        <w:rPr>
          <w:rFonts w:ascii="Calibri" w:cs="Calibri" w:eastAsia="Calibri" w:hAnsi="Calibri"/>
          <w:color w:val="5A6B7B"/>
          <w:sz w:val="20"/>
          <w:szCs w:val="20"/>
        </w:rPr>
        <w:t xml:space="preserve">  (FR-02.2, NFR-08)</w:t>
      </w:r>
    </w:p>
    <w:p>
      <w:pPr>
        <w:pStyle w:val="ListParagraph"/>
        <w:numPr>
          <w:ilvl w:val="0"/>
          <w:numId w:val="2"/>
        </w:numPr>
        <w:spacing w:after="60" w:line="264"/>
      </w:pPr>
      <w:r>
        <w:rPr>
          <w:rFonts w:ascii="Calibri" w:cs="Calibri" w:eastAsia="Calibri" w:hAnsi="Calibri"/>
          <w:color w:val="1F2937"/>
          <w:sz w:val="21"/>
          <w:szCs w:val="21"/>
        </w:rPr>
        <w:t xml:space="preserve">Declarative additions and overrides of data quality rules</w:t>
      </w:r>
      <w:r>
        <w:rPr>
          <w:rFonts w:ascii="Calibri" w:cs="Calibri" w:eastAsia="Calibri" w:hAnsi="Calibri"/>
          <w:color w:val="5A6B7B"/>
          <w:sz w:val="20"/>
          <w:szCs w:val="20"/>
        </w:rPr>
        <w:t xml:space="preserve">  (FR-04.2)</w:t>
      </w:r>
    </w:p>
    <w:p>
      <w:pPr>
        <w:pStyle w:val="ListParagraph"/>
        <w:numPr>
          <w:ilvl w:val="0"/>
          <w:numId w:val="2"/>
        </w:numPr>
        <w:spacing w:after="60" w:line="264"/>
      </w:pPr>
      <w:r>
        <w:rPr>
          <w:rFonts w:ascii="Calibri" w:cs="Calibri" w:eastAsia="Calibri" w:hAnsi="Calibri"/>
          <w:color w:val="1F2937"/>
          <w:sz w:val="21"/>
          <w:szCs w:val="21"/>
        </w:rPr>
        <w:t xml:space="preserve">Human approval required before first production deployment and destructive operations</w:t>
      </w:r>
      <w:r>
        <w:rPr>
          <w:rFonts w:ascii="Calibri" w:cs="Calibri" w:eastAsia="Calibri" w:hAnsi="Calibri"/>
          <w:color w:val="5A6B7B"/>
          <w:sz w:val="20"/>
          <w:szCs w:val="20"/>
        </w:rPr>
        <w:t xml:space="preserve">  (FR-08.3; AC-07)</w:t>
      </w:r>
    </w:p>
    <w:p>
      <w:pPr>
        <w:pStyle w:val="ListParagraph"/>
        <w:numPr>
          <w:ilvl w:val="0"/>
          <w:numId w:val="2"/>
        </w:numPr>
        <w:spacing w:after="60" w:line="264"/>
      </w:pPr>
      <w:r>
        <w:rPr>
          <w:rFonts w:ascii="Calibri" w:cs="Calibri" w:eastAsia="Calibri" w:hAnsi="Calibri"/>
          <w:color w:val="1F2937"/>
          <w:sz w:val="21"/>
          <w:szCs w:val="21"/>
        </w:rPr>
        <w:t xml:space="preserve">Immutable audit record for every run: parameters, code version, volumes, quality results</w:t>
      </w:r>
      <w:r>
        <w:rPr>
          <w:rFonts w:ascii="Calibri" w:cs="Calibri" w:eastAsia="Calibri" w:hAnsi="Calibri"/>
          <w:color w:val="5A6B7B"/>
          <w:sz w:val="20"/>
          <w:szCs w:val="20"/>
        </w:rPr>
        <w:t xml:space="preserve">  (FR-07.2, NFR-07)</w:t>
      </w:r>
    </w:p>
    <w:p>
      <w:pPr>
        <w:pStyle w:val="ListParagraph"/>
        <w:numPr>
          <w:ilvl w:val="0"/>
          <w:numId w:val="2"/>
        </w:numPr>
        <w:spacing w:after="60" w:line="264"/>
      </w:pPr>
      <w:r>
        <w:rPr>
          <w:rFonts w:ascii="Calibri" w:cs="Calibri" w:eastAsia="Calibri" w:hAnsi="Calibri"/>
          <w:color w:val="1F2937"/>
          <w:sz w:val="21"/>
          <w:szCs w:val="21"/>
        </w:rPr>
        <w:t xml:space="preserve">First source onboarded to production; onboarding time target demonstrated</w:t>
      </w:r>
      <w:r>
        <w:rPr>
          <w:rFonts w:ascii="Calibri" w:cs="Calibri" w:eastAsia="Calibri" w:hAnsi="Calibri"/>
          <w:color w:val="5A6B7B"/>
          <w:sz w:val="20"/>
          <w:szCs w:val="20"/>
        </w:rPr>
        <w:t xml:space="preserve">  (NFR-01; AC-01)</w:t>
      </w:r>
    </w:p>
    <w:p>
      <w:pPr>
        <w:keepNext/>
        <w:spacing w:after="60" w:before="120"/>
      </w:pPr>
      <w:r>
        <w:rPr>
          <w:rFonts w:ascii="Calibri" w:cs="Calibri" w:eastAsia="Calibri" w:hAnsi="Calibri"/>
          <w:b/>
          <w:bCs/>
          <w:color w:val="5A6B7B"/>
          <w:sz w:val="21"/>
          <w:szCs w:val="21"/>
        </w:rPr>
        <w:t xml:space="preserve">Exit criteria</w:t>
      </w:r>
    </w:p>
    <w:p>
      <w:pPr>
        <w:pStyle w:val="ListParagraph"/>
        <w:numPr>
          <w:ilvl w:val="0"/>
          <w:numId w:val="2"/>
        </w:numPr>
        <w:spacing w:after="60" w:line="264"/>
      </w:pPr>
      <w:r>
        <w:rPr>
          <w:rFonts w:ascii="Calibri" w:cs="Calibri" w:eastAsia="Calibri" w:hAnsi="Calibri"/>
          <w:color w:val="1F2937"/>
          <w:sz w:val="21"/>
          <w:szCs w:val="21"/>
        </w:rPr>
        <w:t xml:space="preserve">A new database source is onboarded end to end within the stated onboarding target</w:t>
      </w:r>
    </w:p>
    <w:p>
      <w:pPr>
        <w:pStyle w:val="ListParagraph"/>
        <w:numPr>
          <w:ilvl w:val="0"/>
          <w:numId w:val="2"/>
        </w:numPr>
        <w:spacing w:after="60" w:line="264"/>
      </w:pPr>
      <w:r>
        <w:rPr>
          <w:rFonts w:ascii="Calibri" w:cs="Calibri" w:eastAsia="Calibri" w:hAnsi="Calibri"/>
          <w:color w:val="1F2937"/>
          <w:sz w:val="21"/>
          <w:szCs w:val="21"/>
        </w:rPr>
        <w:t xml:space="preserve">Production deployment is blocked until approval is recorded, with full audit trail retrievable</w:t>
      </w:r>
    </w:p>
    <w:p>
      <w:pPr>
        <w:pStyle w:val="ListParagraph"/>
        <w:numPr>
          <w:ilvl w:val="0"/>
          <w:numId w:val="2"/>
        </w:numPr>
        <w:spacing w:after="60" w:line="264"/>
      </w:pPr>
      <w:r>
        <w:rPr>
          <w:rFonts w:ascii="Calibri" w:cs="Calibri" w:eastAsia="Calibri" w:hAnsi="Calibri"/>
          <w:color w:val="1F2937"/>
          <w:sz w:val="21"/>
          <w:szCs w:val="21"/>
        </w:rPr>
        <w:t xml:space="preserve">Profiling report and strategy recommendation reviewed and accepted by the data engineering lead</w:t>
      </w:r>
    </w:p>
    <w:p>
      <w:pPr>
        <w:pStyle w:val="Heading2"/>
        <w:keepNext/>
        <w:spacing w:after="120" w:before="280"/>
      </w:pPr>
      <w:r>
        <w:rPr>
          <w:rFonts w:ascii="Calibri" w:cs="Calibri" w:eastAsia="Calibri" w:hAnsi="Calibri"/>
          <w:b/>
          <w:bCs/>
          <w:color w:val="0F3B5C"/>
          <w:sz w:val="25"/>
          <w:szCs w:val="25"/>
        </w:rPr>
        <w:t xml:space="preserve">Phase 4 - CDC, Schema Drift and Resilience</w:t>
      </w:r>
    </w:p>
    <w:p>
      <w:pPr>
        <w:spacing w:after="120" w:line="276"/>
      </w:pPr>
      <w:r>
        <w:rPr>
          <w:rFonts w:ascii="Calibri" w:cs="Calibri" w:eastAsia="Calibri" w:hAnsi="Calibri"/>
          <w:b/>
          <w:bCs/>
          <w:color w:val="5A6B7B"/>
          <w:sz w:val="21"/>
          <w:szCs w:val="21"/>
        </w:rPr>
        <w:t xml:space="preserve">Objective:  </w:t>
      </w:r>
      <w:r>
        <w:rPr>
          <w:rFonts w:ascii="Calibri" w:cs="Calibri" w:eastAsia="Calibri" w:hAnsi="Calibri"/>
          <w:color w:val="1F2937"/>
          <w:sz w:val="21"/>
          <w:szCs w:val="21"/>
        </w:rPr>
        <w:t xml:space="preserve">The load strategies and failure handling that require operational maturity: change data capture, drift response and self-healing for known transient failures.</w:t>
      </w:r>
    </w:p>
    <w:p>
      <w:pPr>
        <w:keepNext/>
        <w:spacing w:after="60" w:before="120"/>
      </w:pPr>
      <w:r>
        <w:rPr>
          <w:rFonts w:ascii="Calibri" w:cs="Calibri" w:eastAsia="Calibri" w:hAnsi="Calibri"/>
          <w:b/>
          <w:bCs/>
          <w:color w:val="5A6B7B"/>
          <w:sz w:val="21"/>
          <w:szCs w:val="21"/>
        </w:rPr>
        <w:t xml:space="preserve">Scope</w:t>
      </w:r>
    </w:p>
    <w:p>
      <w:pPr>
        <w:pStyle w:val="ListParagraph"/>
        <w:numPr>
          <w:ilvl w:val="0"/>
          <w:numId w:val="2"/>
        </w:numPr>
        <w:spacing w:after="60" w:line="264"/>
      </w:pPr>
      <w:r>
        <w:rPr>
          <w:rFonts w:ascii="Calibri" w:cs="Calibri" w:eastAsia="Calibri" w:hAnsi="Calibri"/>
          <w:color w:val="1F2937"/>
          <w:sz w:val="21"/>
          <w:szCs w:val="21"/>
        </w:rPr>
        <w:t xml:space="preserve">Log-based change data capture as a selectable load strategy</w:t>
      </w:r>
      <w:r>
        <w:rPr>
          <w:rFonts w:ascii="Calibri" w:cs="Calibri" w:eastAsia="Calibri" w:hAnsi="Calibri"/>
          <w:color w:val="5A6B7B"/>
          <w:sz w:val="20"/>
          <w:szCs w:val="20"/>
        </w:rPr>
        <w:t xml:space="preserve">  (FR-03.1, Sec 9.1)</w:t>
      </w:r>
    </w:p>
    <w:p>
      <w:pPr>
        <w:pStyle w:val="ListParagraph"/>
        <w:numPr>
          <w:ilvl w:val="0"/>
          <w:numId w:val="2"/>
        </w:numPr>
        <w:spacing w:after="60" w:line="264"/>
      </w:pPr>
      <w:r>
        <w:rPr>
          <w:rFonts w:ascii="Calibri" w:cs="Calibri" w:eastAsia="Calibri" w:hAnsi="Calibri"/>
          <w:color w:val="1F2937"/>
          <w:sz w:val="21"/>
          <w:szCs w:val="21"/>
        </w:rPr>
        <w:t xml:space="preserve">Late-arriving data handled through configurable lookback windows and merge semantics</w:t>
      </w:r>
      <w:r>
        <w:rPr>
          <w:rFonts w:ascii="Calibri" w:cs="Calibri" w:eastAsia="Calibri" w:hAnsi="Calibri"/>
          <w:color w:val="5A6B7B"/>
          <w:sz w:val="20"/>
          <w:szCs w:val="20"/>
        </w:rPr>
        <w:t xml:space="preserve">  (FR-03.3)</w:t>
      </w:r>
    </w:p>
    <w:p>
      <w:pPr>
        <w:pStyle w:val="ListParagraph"/>
        <w:numPr>
          <w:ilvl w:val="0"/>
          <w:numId w:val="2"/>
        </w:numPr>
        <w:spacing w:after="60" w:line="264"/>
      </w:pPr>
      <w:r>
        <w:rPr>
          <w:rFonts w:ascii="Calibri" w:cs="Calibri" w:eastAsia="Calibri" w:hAnsi="Calibri"/>
          <w:color w:val="1F2937"/>
          <w:sz w:val="21"/>
          <w:szCs w:val="21"/>
        </w:rPr>
        <w:t xml:space="preserve">On-demand backfill and reprocessing with automatic invalidation of affected downstream objects</w:t>
      </w:r>
      <w:r>
        <w:rPr>
          <w:rFonts w:ascii="Calibri" w:cs="Calibri" w:eastAsia="Calibri" w:hAnsi="Calibri"/>
          <w:color w:val="5A6B7B"/>
          <w:sz w:val="20"/>
          <w:szCs w:val="20"/>
        </w:rPr>
        <w:t xml:space="preserve">  (FR-03.4)</w:t>
      </w:r>
    </w:p>
    <w:p>
      <w:pPr>
        <w:pStyle w:val="ListParagraph"/>
        <w:numPr>
          <w:ilvl w:val="0"/>
          <w:numId w:val="2"/>
        </w:numPr>
        <w:spacing w:after="60" w:line="264"/>
      </w:pPr>
      <w:r>
        <w:rPr>
          <w:rFonts w:ascii="Calibri" w:cs="Calibri" w:eastAsia="Calibri" w:hAnsi="Calibri"/>
          <w:color w:val="1F2937"/>
          <w:sz w:val="21"/>
          <w:szCs w:val="21"/>
        </w:rPr>
        <w:t xml:space="preserve">Schema drift detection at the source before or during each run</w:t>
      </w:r>
      <w:r>
        <w:rPr>
          <w:rFonts w:ascii="Calibri" w:cs="Calibri" w:eastAsia="Calibri" w:hAnsi="Calibri"/>
          <w:color w:val="5A6B7B"/>
          <w:sz w:val="20"/>
          <w:szCs w:val="20"/>
        </w:rPr>
        <w:t xml:space="preserve">  (FR-05.1)</w:t>
      </w:r>
    </w:p>
    <w:p>
      <w:pPr>
        <w:pStyle w:val="ListParagraph"/>
        <w:numPr>
          <w:ilvl w:val="0"/>
          <w:numId w:val="2"/>
        </w:numPr>
        <w:spacing w:after="60" w:line="264"/>
      </w:pPr>
      <w:r>
        <w:rPr>
          <w:rFonts w:ascii="Calibri" w:cs="Calibri" w:eastAsia="Calibri" w:hAnsi="Calibri"/>
          <w:color w:val="1F2937"/>
          <w:sz w:val="21"/>
          <w:szCs w:val="21"/>
        </w:rPr>
        <w:t xml:space="preserve">Policy-driven drift response per source: auto-evolve, quarantine, or halt and escalate</w:t>
      </w:r>
      <w:r>
        <w:rPr>
          <w:rFonts w:ascii="Calibri" w:cs="Calibri" w:eastAsia="Calibri" w:hAnsi="Calibri"/>
          <w:color w:val="5A6B7B"/>
          <w:sz w:val="20"/>
          <w:szCs w:val="20"/>
        </w:rPr>
        <w:t xml:space="preserve">  (FR-05.2, FR-05.3; AC-04)</w:t>
      </w:r>
    </w:p>
    <w:p>
      <w:pPr>
        <w:pStyle w:val="ListParagraph"/>
        <w:numPr>
          <w:ilvl w:val="0"/>
          <w:numId w:val="2"/>
        </w:numPr>
        <w:spacing w:after="60" w:line="264"/>
      </w:pPr>
      <w:r>
        <w:rPr>
          <w:rFonts w:ascii="Calibri" w:cs="Calibri" w:eastAsia="Calibri" w:hAnsi="Calibri"/>
          <w:color w:val="1F2937"/>
          <w:sz w:val="21"/>
          <w:szCs w:val="21"/>
        </w:rPr>
        <w:t xml:space="preserve">Failure classification and automatic retry or recovery for transient failure classes</w:t>
      </w:r>
      <w:r>
        <w:rPr>
          <w:rFonts w:ascii="Calibri" w:cs="Calibri" w:eastAsia="Calibri" w:hAnsi="Calibri"/>
          <w:color w:val="5A6B7B"/>
          <w:sz w:val="20"/>
          <w:szCs w:val="20"/>
        </w:rPr>
        <w:t xml:space="preserve">  (FR-06.2, FR-06.3)</w:t>
      </w:r>
    </w:p>
    <w:p>
      <w:pPr>
        <w:pStyle w:val="ListParagraph"/>
        <w:numPr>
          <w:ilvl w:val="0"/>
          <w:numId w:val="2"/>
        </w:numPr>
        <w:spacing w:after="60" w:line="264"/>
      </w:pPr>
      <w:r>
        <w:rPr>
          <w:rFonts w:ascii="Calibri" w:cs="Calibri" w:eastAsia="Calibri" w:hAnsi="Calibri"/>
          <w:color w:val="1F2937"/>
          <w:sz w:val="21"/>
          <w:szCs w:val="21"/>
        </w:rPr>
        <w:t xml:space="preserve">Diagnosis-rich alerts for failures that cannot be self-healed: root cause, impact, recommended fix</w:t>
      </w:r>
      <w:r>
        <w:rPr>
          <w:rFonts w:ascii="Calibri" w:cs="Calibri" w:eastAsia="Calibri" w:hAnsi="Calibri"/>
          <w:color w:val="5A6B7B"/>
          <w:sz w:val="20"/>
          <w:szCs w:val="20"/>
        </w:rPr>
        <w:t xml:space="preserve">  (FR-06.4; AC-06)</w:t>
      </w:r>
    </w:p>
    <w:p>
      <w:pPr>
        <w:pStyle w:val="ListParagraph"/>
        <w:numPr>
          <w:ilvl w:val="0"/>
          <w:numId w:val="2"/>
        </w:numPr>
        <w:spacing w:after="60" w:line="264"/>
      </w:pPr>
      <w:r>
        <w:rPr>
          <w:rFonts w:ascii="Calibri" w:cs="Calibri" w:eastAsia="Calibri" w:hAnsi="Calibri"/>
          <w:color w:val="1F2937"/>
          <w:sz w:val="21"/>
          <w:szCs w:val="21"/>
        </w:rPr>
        <w:t xml:space="preserve">SelfHeal agent started as a rules-based consumer of pipeline failure events</w:t>
      </w:r>
      <w:r>
        <w:rPr>
          <w:rFonts w:ascii="Calibri" w:cs="Calibri" w:eastAsia="Calibri" w:hAnsi="Calibri"/>
          <w:color w:val="5A6B7B"/>
          <w:sz w:val="20"/>
          <w:szCs w:val="20"/>
        </w:rPr>
        <w:t xml:space="preserve">  (Design deck)</w:t>
      </w:r>
    </w:p>
    <w:p>
      <w:pPr>
        <w:keepNext/>
        <w:spacing w:after="60" w:before="120"/>
      </w:pPr>
      <w:r>
        <w:rPr>
          <w:rFonts w:ascii="Calibri" w:cs="Calibri" w:eastAsia="Calibri" w:hAnsi="Calibri"/>
          <w:b/>
          <w:bCs/>
          <w:color w:val="5A6B7B"/>
          <w:sz w:val="21"/>
          <w:szCs w:val="21"/>
        </w:rPr>
        <w:t xml:space="preserve">Exit criteria</w:t>
      </w:r>
    </w:p>
    <w:p>
      <w:pPr>
        <w:pStyle w:val="ListParagraph"/>
        <w:numPr>
          <w:ilvl w:val="0"/>
          <w:numId w:val="2"/>
        </w:numPr>
        <w:spacing w:after="60" w:line="264"/>
      </w:pPr>
      <w:r>
        <w:rPr>
          <w:rFonts w:ascii="Calibri" w:cs="Calibri" w:eastAsia="Calibri" w:hAnsi="Calibri"/>
          <w:color w:val="1F2937"/>
          <w:sz w:val="21"/>
          <w:szCs w:val="21"/>
        </w:rPr>
        <w:t xml:space="preserve">An additive schema change is detected and handled per policy, with notification within five minutes</w:t>
      </w:r>
    </w:p>
    <w:p>
      <w:pPr>
        <w:pStyle w:val="ListParagraph"/>
        <w:numPr>
          <w:ilvl w:val="0"/>
          <w:numId w:val="2"/>
        </w:numPr>
        <w:spacing w:after="60" w:line="264"/>
      </w:pPr>
      <w:r>
        <w:rPr>
          <w:rFonts w:ascii="Calibri" w:cs="Calibri" w:eastAsia="Calibri" w:hAnsi="Calibri"/>
          <w:color w:val="1F2937"/>
          <w:sz w:val="21"/>
          <w:szCs w:val="21"/>
        </w:rPr>
        <w:t xml:space="preserve">A simulated transient outage recovers without human intervention</w:t>
      </w:r>
    </w:p>
    <w:p>
      <w:pPr>
        <w:pStyle w:val="ListParagraph"/>
        <w:numPr>
          <w:ilvl w:val="0"/>
          <w:numId w:val="2"/>
        </w:numPr>
        <w:spacing w:after="60" w:line="264"/>
      </w:pPr>
      <w:r>
        <w:rPr>
          <w:rFonts w:ascii="Calibri" w:cs="Calibri" w:eastAsia="Calibri" w:hAnsi="Calibri"/>
          <w:color w:val="1F2937"/>
          <w:sz w:val="21"/>
          <w:szCs w:val="21"/>
        </w:rPr>
        <w:t xml:space="preserve">A non-transient failure produces a diagnosis-rich alert rather than a stack trace</w:t>
      </w:r>
    </w:p>
    <w:p>
      <w:pPr>
        <w:pStyle w:val="Heading2"/>
        <w:keepNext/>
        <w:spacing w:after="120" w:before="280"/>
      </w:pPr>
      <w:r>
        <w:rPr>
          <w:rFonts w:ascii="Calibri" w:cs="Calibri" w:eastAsia="Calibri" w:hAnsi="Calibri"/>
          <w:b/>
          <w:bCs/>
          <w:color w:val="0F3B5C"/>
          <w:sz w:val="25"/>
          <w:szCs w:val="25"/>
        </w:rPr>
        <w:t xml:space="preserve">Phase 5 - Operations at Scale</w:t>
      </w:r>
    </w:p>
    <w:p>
      <w:pPr>
        <w:spacing w:after="120" w:line="276"/>
      </w:pPr>
      <w:r>
        <w:rPr>
          <w:rFonts w:ascii="Calibri" w:cs="Calibri" w:eastAsia="Calibri" w:hAnsi="Calibri"/>
          <w:b/>
          <w:bCs/>
          <w:color w:val="5A6B7B"/>
          <w:sz w:val="21"/>
          <w:szCs w:val="21"/>
        </w:rPr>
        <w:t xml:space="preserve">Objective:  </w:t>
      </w:r>
      <w:r>
        <w:rPr>
          <w:rFonts w:ascii="Calibri" w:cs="Calibri" w:eastAsia="Calibri" w:hAnsi="Calibri"/>
          <w:color w:val="1F2937"/>
          <w:sz w:val="21"/>
          <w:szCs w:val="21"/>
        </w:rPr>
        <w:t xml:space="preserve">Reliability, governance and cost visibility hardened using the operational history accumulated since production go-live.</w:t>
      </w:r>
    </w:p>
    <w:p>
      <w:pPr>
        <w:keepNext/>
        <w:spacing w:after="60" w:before="120"/>
      </w:pPr>
      <w:r>
        <w:rPr>
          <w:rFonts w:ascii="Calibri" w:cs="Calibri" w:eastAsia="Calibri" w:hAnsi="Calibri"/>
          <w:b/>
          <w:bCs/>
          <w:color w:val="5A6B7B"/>
          <w:sz w:val="21"/>
          <w:szCs w:val="21"/>
        </w:rPr>
        <w:t xml:space="preserve">Scope</w:t>
      </w:r>
    </w:p>
    <w:p>
      <w:pPr>
        <w:pStyle w:val="ListParagraph"/>
        <w:numPr>
          <w:ilvl w:val="0"/>
          <w:numId w:val="2"/>
        </w:numPr>
        <w:spacing w:after="60" w:line="264"/>
      </w:pPr>
      <w:r>
        <w:rPr>
          <w:rFonts w:ascii="Calibri" w:cs="Calibri" w:eastAsia="Calibri" w:hAnsi="Calibri"/>
          <w:color w:val="1F2937"/>
          <w:sz w:val="21"/>
          <w:szCs w:val="21"/>
        </w:rPr>
        <w:t xml:space="preserve">SelfHeal maturity: six root-cause categories, guardrailed remediation playbooks, escalation with full reports, incident register with trend analysis</w:t>
      </w:r>
      <w:r>
        <w:rPr>
          <w:rFonts w:ascii="Calibri" w:cs="Calibri" w:eastAsia="Calibri" w:hAnsi="Calibri"/>
          <w:color w:val="5A6B7B"/>
          <w:sz w:val="20"/>
          <w:szCs w:val="20"/>
        </w:rPr>
        <w:t xml:space="preserve">  (Design deck; FR-06.2 to FR-06.4)</w:t>
      </w:r>
    </w:p>
    <w:p>
      <w:pPr>
        <w:pStyle w:val="ListParagraph"/>
        <w:numPr>
          <w:ilvl w:val="0"/>
          <w:numId w:val="2"/>
        </w:numPr>
        <w:spacing w:after="60" w:line="264"/>
      </w:pPr>
      <w:r>
        <w:rPr>
          <w:rFonts w:ascii="Calibri" w:cs="Calibri" w:eastAsia="Calibri" w:hAnsi="Calibri"/>
          <w:color w:val="1F2937"/>
          <w:sz w:val="21"/>
          <w:szCs w:val="21"/>
        </w:rPr>
        <w:t xml:space="preserve">SLA adherence tracking with early warning ahead of projected breaches</w:t>
      </w:r>
      <w:r>
        <w:rPr>
          <w:rFonts w:ascii="Calibri" w:cs="Calibri" w:eastAsia="Calibri" w:hAnsi="Calibri"/>
          <w:color w:val="5A6B7B"/>
          <w:sz w:val="20"/>
          <w:szCs w:val="20"/>
        </w:rPr>
        <w:t xml:space="preserve">  (FR-06.5)</w:t>
      </w:r>
    </w:p>
    <w:p>
      <w:pPr>
        <w:pStyle w:val="ListParagraph"/>
        <w:numPr>
          <w:ilvl w:val="0"/>
          <w:numId w:val="2"/>
        </w:numPr>
        <w:spacing w:after="60" w:line="264"/>
      </w:pPr>
      <w:r>
        <w:rPr>
          <w:rFonts w:ascii="Calibri" w:cs="Calibri" w:eastAsia="Calibri" w:hAnsi="Calibri"/>
          <w:color w:val="1F2937"/>
          <w:sz w:val="21"/>
          <w:szCs w:val="21"/>
        </w:rPr>
        <w:t xml:space="preserve">Column-level lineage registered in the enterprise catalogue for every pipeline</w:t>
      </w:r>
      <w:r>
        <w:rPr>
          <w:rFonts w:ascii="Calibri" w:cs="Calibri" w:eastAsia="Calibri" w:hAnsi="Calibri"/>
          <w:color w:val="5A6B7B"/>
          <w:sz w:val="20"/>
          <w:szCs w:val="20"/>
        </w:rPr>
        <w:t xml:space="preserve">  (FR-07.1; AC-02)</w:t>
      </w:r>
    </w:p>
    <w:p>
      <w:pPr>
        <w:pStyle w:val="ListParagraph"/>
        <w:numPr>
          <w:ilvl w:val="0"/>
          <w:numId w:val="2"/>
        </w:numPr>
        <w:spacing w:after="60" w:line="264"/>
      </w:pPr>
      <w:r>
        <w:rPr>
          <w:rFonts w:ascii="Calibri" w:cs="Calibri" w:eastAsia="Calibri" w:hAnsi="Calibri"/>
          <w:color w:val="1F2937"/>
          <w:sz w:val="21"/>
          <w:szCs w:val="21"/>
        </w:rPr>
        <w:t xml:space="preserve">Cost attribution tags on every run and per-pipeline monthly cost reporting</w:t>
      </w:r>
      <w:r>
        <w:rPr>
          <w:rFonts w:ascii="Calibri" w:cs="Calibri" w:eastAsia="Calibri" w:hAnsi="Calibri"/>
          <w:color w:val="5A6B7B"/>
          <w:sz w:val="20"/>
          <w:szCs w:val="20"/>
        </w:rPr>
        <w:t xml:space="preserve">  (NFR-10)</w:t>
      </w:r>
    </w:p>
    <w:p>
      <w:pPr>
        <w:pStyle w:val="ListParagraph"/>
        <w:numPr>
          <w:ilvl w:val="0"/>
          <w:numId w:val="2"/>
        </w:numPr>
        <w:spacing w:after="60" w:line="264"/>
      </w:pPr>
      <w:r>
        <w:rPr>
          <w:rFonts w:ascii="Calibri" w:cs="Calibri" w:eastAsia="Calibri" w:hAnsi="Calibri"/>
          <w:color w:val="1F2937"/>
          <w:sz w:val="21"/>
          <w:szCs w:val="21"/>
        </w:rPr>
        <w:t xml:space="preserve">Run notifications, drift alerts, SLA warnings and weekly digests to configured channels</w:t>
      </w:r>
      <w:r>
        <w:rPr>
          <w:rFonts w:ascii="Calibri" w:cs="Calibri" w:eastAsia="Calibri" w:hAnsi="Calibri"/>
          <w:color w:val="5A6B7B"/>
          <w:sz w:val="20"/>
          <w:szCs w:val="20"/>
        </w:rPr>
        <w:t xml:space="preserve">  (Sec 7.4)</w:t>
      </w:r>
    </w:p>
    <w:p>
      <w:pPr>
        <w:pStyle w:val="ListParagraph"/>
        <w:numPr>
          <w:ilvl w:val="0"/>
          <w:numId w:val="2"/>
        </w:numPr>
        <w:spacing w:after="60" w:line="264"/>
      </w:pPr>
      <w:r>
        <w:rPr>
          <w:rFonts w:ascii="Calibri" w:cs="Calibri" w:eastAsia="Calibri" w:hAnsi="Calibri"/>
          <w:color w:val="1F2937"/>
          <w:sz w:val="21"/>
          <w:szCs w:val="21"/>
        </w:rPr>
        <w:t xml:space="preserve">Ticketing integration for escalated failures and approval routing</w:t>
      </w:r>
      <w:r>
        <w:rPr>
          <w:rFonts w:ascii="Calibri" w:cs="Calibri" w:eastAsia="Calibri" w:hAnsi="Calibri"/>
          <w:color w:val="5A6B7B"/>
          <w:sz w:val="20"/>
          <w:szCs w:val="20"/>
        </w:rPr>
        <w:t xml:space="preserve">  (Sec 11)</w:t>
      </w:r>
    </w:p>
    <w:p>
      <w:pPr>
        <w:keepNext/>
        <w:spacing w:after="60" w:before="120"/>
      </w:pPr>
      <w:r>
        <w:rPr>
          <w:rFonts w:ascii="Calibri" w:cs="Calibri" w:eastAsia="Calibri" w:hAnsi="Calibri"/>
          <w:b/>
          <w:bCs/>
          <w:color w:val="5A6B7B"/>
          <w:sz w:val="21"/>
          <w:szCs w:val="21"/>
        </w:rPr>
        <w:t xml:space="preserve">Exit criteria</w:t>
      </w:r>
    </w:p>
    <w:p>
      <w:pPr>
        <w:pStyle w:val="ListParagraph"/>
        <w:numPr>
          <w:ilvl w:val="0"/>
          <w:numId w:val="2"/>
        </w:numPr>
        <w:spacing w:after="60" w:line="264"/>
      </w:pPr>
      <w:r>
        <w:rPr>
          <w:rFonts w:ascii="Calibri" w:cs="Calibri" w:eastAsia="Calibri" w:hAnsi="Calibri"/>
          <w:color w:val="1F2937"/>
          <w:sz w:val="21"/>
          <w:szCs w:val="21"/>
        </w:rPr>
        <w:t xml:space="preserve">Every production pipeline shows column-level lineage in the catalogue</w:t>
      </w:r>
    </w:p>
    <w:p>
      <w:pPr>
        <w:pStyle w:val="ListParagraph"/>
        <w:numPr>
          <w:ilvl w:val="0"/>
          <w:numId w:val="2"/>
        </w:numPr>
        <w:spacing w:after="60" w:line="264"/>
      </w:pPr>
      <w:r>
        <w:rPr>
          <w:rFonts w:ascii="Calibri" w:cs="Calibri" w:eastAsia="Calibri" w:hAnsi="Calibri"/>
          <w:color w:val="1F2937"/>
          <w:sz w:val="21"/>
          <w:szCs w:val="21"/>
        </w:rPr>
        <w:t xml:space="preserve">Monthly cost report available per pipeline</w:t>
      </w:r>
    </w:p>
    <w:p>
      <w:pPr>
        <w:pStyle w:val="ListParagraph"/>
        <w:numPr>
          <w:ilvl w:val="0"/>
          <w:numId w:val="2"/>
        </w:numPr>
        <w:spacing w:after="60" w:line="264"/>
      </w:pPr>
      <w:r>
        <w:rPr>
          <w:rFonts w:ascii="Calibri" w:cs="Calibri" w:eastAsia="Calibri" w:hAnsi="Calibri"/>
          <w:color w:val="1F2937"/>
          <w:sz w:val="21"/>
          <w:szCs w:val="21"/>
        </w:rPr>
        <w:t xml:space="preserve">Incident register in use with at least one recurring failure eliminated through trend analysis</w:t>
      </w:r>
    </w:p>
    <w:p>
      <w:pPr>
        <w:pStyle w:val="Heading2"/>
        <w:keepNext/>
        <w:spacing w:after="120" w:before="280"/>
      </w:pPr>
      <w:r>
        <w:rPr>
          <w:rFonts w:ascii="Calibri" w:cs="Calibri" w:eastAsia="Calibri" w:hAnsi="Calibri"/>
          <w:b/>
          <w:bCs/>
          <w:color w:val="0F3B5C"/>
          <w:sz w:val="25"/>
          <w:szCs w:val="25"/>
        </w:rPr>
        <w:t xml:space="preserve">Phase 6 - Source Expansion and Conversational Interface</w:t>
      </w:r>
    </w:p>
    <w:p>
      <w:pPr>
        <w:spacing w:after="120" w:line="276"/>
      </w:pPr>
      <w:r>
        <w:rPr>
          <w:rFonts w:ascii="Calibri" w:cs="Calibri" w:eastAsia="Calibri" w:hAnsi="Calibri"/>
          <w:b/>
          <w:bCs/>
          <w:color w:val="5A6B7B"/>
          <w:sz w:val="21"/>
          <w:szCs w:val="21"/>
        </w:rPr>
        <w:t xml:space="preserve">Objective:  </w:t>
      </w:r>
      <w:r>
        <w:rPr>
          <w:rFonts w:ascii="Calibri" w:cs="Calibri" w:eastAsia="Calibri" w:hAnsi="Calibri"/>
          <w:color w:val="1F2937"/>
          <w:sz w:val="21"/>
          <w:szCs w:val="21"/>
        </w:rPr>
        <w:t xml:space="preserve">Coverage of the remaining source types in the scope list and the natural-language entry point over the stable API.</w:t>
      </w:r>
    </w:p>
    <w:p>
      <w:pPr>
        <w:keepNext/>
        <w:spacing w:after="60" w:before="120"/>
      </w:pPr>
      <w:r>
        <w:rPr>
          <w:rFonts w:ascii="Calibri" w:cs="Calibri" w:eastAsia="Calibri" w:hAnsi="Calibri"/>
          <w:b/>
          <w:bCs/>
          <w:color w:val="5A6B7B"/>
          <w:sz w:val="21"/>
          <w:szCs w:val="21"/>
        </w:rPr>
        <w:t xml:space="preserve">Scope</w:t>
      </w:r>
    </w:p>
    <w:p>
      <w:pPr>
        <w:pStyle w:val="ListParagraph"/>
        <w:numPr>
          <w:ilvl w:val="0"/>
          <w:numId w:val="2"/>
        </w:numPr>
        <w:spacing w:after="60" w:line="264"/>
      </w:pPr>
      <w:r>
        <w:rPr>
          <w:rFonts w:ascii="Calibri" w:cs="Calibri" w:eastAsia="Calibri" w:hAnsi="Calibri"/>
          <w:color w:val="1F2937"/>
          <w:sz w:val="21"/>
          <w:szCs w:val="21"/>
        </w:rPr>
        <w:t xml:space="preserve">Remaining source types onboarded through connector tooling: SaaS APIs, GraphQL, SFTP, Excel and XML files, message queues</w:t>
      </w:r>
      <w:r>
        <w:rPr>
          <w:rFonts w:ascii="Calibri" w:cs="Calibri" w:eastAsia="Calibri" w:hAnsi="Calibri"/>
          <w:color w:val="5A6B7B"/>
          <w:sz w:val="20"/>
          <w:szCs w:val="20"/>
        </w:rPr>
        <w:t xml:space="preserve">  (Sec 3.1, Sec 6.1)</w:t>
      </w:r>
    </w:p>
    <w:p>
      <w:pPr>
        <w:pStyle w:val="ListParagraph"/>
        <w:numPr>
          <w:ilvl w:val="0"/>
          <w:numId w:val="2"/>
        </w:numPr>
        <w:spacing w:after="60" w:line="264"/>
      </w:pPr>
      <w:r>
        <w:rPr>
          <w:rFonts w:ascii="Calibri" w:cs="Calibri" w:eastAsia="Calibri" w:hAnsi="Calibri"/>
          <w:color w:val="1F2937"/>
          <w:sz w:val="21"/>
          <w:szCs w:val="21"/>
        </w:rPr>
        <w:t xml:space="preserve">Conversational requests normalised into the structured JSON request contract</w:t>
      </w:r>
      <w:r>
        <w:rPr>
          <w:rFonts w:ascii="Calibri" w:cs="Calibri" w:eastAsia="Calibri" w:hAnsi="Calibri"/>
          <w:color w:val="5A6B7B"/>
          <w:sz w:val="20"/>
          <w:szCs w:val="20"/>
        </w:rPr>
        <w:t xml:space="preserve">  (FR-08.2, Sec 6)</w:t>
      </w:r>
    </w:p>
    <w:p>
      <w:pPr>
        <w:pStyle w:val="ListParagraph"/>
        <w:numPr>
          <w:ilvl w:val="0"/>
          <w:numId w:val="2"/>
        </w:numPr>
        <w:spacing w:after="60" w:line="264"/>
      </w:pPr>
      <w:r>
        <w:rPr>
          <w:rFonts w:ascii="Calibri" w:cs="Calibri" w:eastAsia="Calibri" w:hAnsi="Calibri"/>
          <w:color w:val="1F2937"/>
          <w:sz w:val="21"/>
          <w:szCs w:val="21"/>
        </w:rPr>
        <w:t xml:space="preserve">Lineage and impact-analysis questions answered through the conversational interface</w:t>
      </w:r>
      <w:r>
        <w:rPr>
          <w:rFonts w:ascii="Calibri" w:cs="Calibri" w:eastAsia="Calibri" w:hAnsi="Calibri"/>
          <w:color w:val="5A6B7B"/>
          <w:sz w:val="20"/>
          <w:szCs w:val="20"/>
        </w:rPr>
        <w:t xml:space="preserve">  (FR-07.3)</w:t>
      </w:r>
    </w:p>
    <w:p>
      <w:pPr>
        <w:pStyle w:val="ListParagraph"/>
        <w:numPr>
          <w:ilvl w:val="0"/>
          <w:numId w:val="2"/>
        </w:numPr>
        <w:spacing w:after="60" w:line="264"/>
      </w:pPr>
      <w:r>
        <w:rPr>
          <w:rFonts w:ascii="Calibri" w:cs="Calibri" w:eastAsia="Calibri" w:hAnsi="Calibri"/>
          <w:color w:val="1F2937"/>
          <w:sz w:val="21"/>
          <w:szCs w:val="21"/>
        </w:rPr>
        <w:t xml:space="preserve">Web portal first release; requires an approved UX specification as a prerequisite</w:t>
      </w:r>
      <w:r>
        <w:rPr>
          <w:rFonts w:ascii="Calibri" w:cs="Calibri" w:eastAsia="Calibri" w:hAnsi="Calibri"/>
          <w:color w:val="5A6B7B"/>
          <w:sz w:val="20"/>
          <w:szCs w:val="20"/>
        </w:rPr>
        <w:t xml:space="preserve">  (Sec 9.1)</w:t>
      </w:r>
    </w:p>
    <w:p>
      <w:pPr>
        <w:keepNext/>
        <w:spacing w:after="60" w:before="120"/>
      </w:pPr>
      <w:r>
        <w:rPr>
          <w:rFonts w:ascii="Calibri" w:cs="Calibri" w:eastAsia="Calibri" w:hAnsi="Calibri"/>
          <w:b/>
          <w:bCs/>
          <w:color w:val="5A6B7B"/>
          <w:sz w:val="21"/>
          <w:szCs w:val="21"/>
        </w:rPr>
        <w:t xml:space="preserve">Exit criteria</w:t>
      </w:r>
    </w:p>
    <w:p>
      <w:pPr>
        <w:pStyle w:val="ListParagraph"/>
        <w:numPr>
          <w:ilvl w:val="0"/>
          <w:numId w:val="2"/>
        </w:numPr>
        <w:spacing w:after="60" w:line="264"/>
      </w:pPr>
      <w:r>
        <w:rPr>
          <w:rFonts w:ascii="Calibri" w:cs="Calibri" w:eastAsia="Calibri" w:hAnsi="Calibri"/>
          <w:color w:val="1F2937"/>
          <w:sz w:val="21"/>
          <w:szCs w:val="21"/>
        </w:rPr>
        <w:t xml:space="preserve">A pipeline request made in plain language produces the same result as the equivalent API call</w:t>
      </w:r>
    </w:p>
    <w:p>
      <w:pPr>
        <w:pStyle w:val="ListParagraph"/>
        <w:numPr>
          <w:ilvl w:val="0"/>
          <w:numId w:val="2"/>
        </w:numPr>
        <w:spacing w:after="60" w:line="264"/>
      </w:pPr>
      <w:r>
        <w:rPr>
          <w:rFonts w:ascii="Calibri" w:cs="Calibri" w:eastAsia="Calibri" w:hAnsi="Calibri"/>
          <w:color w:val="1F2937"/>
          <w:sz w:val="21"/>
          <w:szCs w:val="21"/>
        </w:rPr>
        <w:t xml:space="preserve">At least three non-database source types running in production</w:t>
      </w:r>
    </w:p>
    <w:p>
      <w:pPr>
        <w:pStyle w:val="Heading2"/>
        <w:keepNext/>
        <w:spacing w:after="120" w:before="280"/>
      </w:pPr>
      <w:r>
        <w:rPr>
          <w:rFonts w:ascii="Calibri" w:cs="Calibri" w:eastAsia="Calibri" w:hAnsi="Calibri"/>
          <w:b/>
          <w:bCs/>
          <w:color w:val="0F3B5C"/>
          <w:sz w:val="25"/>
          <w:szCs w:val="25"/>
        </w:rPr>
        <w:t xml:space="preserve">Phase 7 - Second Target Platform and General Availability</w:t>
      </w:r>
    </w:p>
    <w:p>
      <w:pPr>
        <w:spacing w:after="120" w:line="276"/>
      </w:pPr>
      <w:r>
        <w:rPr>
          <w:rFonts w:ascii="Calibri" w:cs="Calibri" w:eastAsia="Calibri" w:hAnsi="Calibri"/>
          <w:b/>
          <w:bCs/>
          <w:color w:val="5A6B7B"/>
          <w:sz w:val="21"/>
          <w:szCs w:val="21"/>
        </w:rPr>
        <w:t xml:space="preserve">Objective:  </w:t>
      </w:r>
      <w:r>
        <w:rPr>
          <w:rFonts w:ascii="Calibri" w:cs="Calibri" w:eastAsia="Calibri" w:hAnsi="Calibri"/>
          <w:color w:val="1F2937"/>
          <w:sz w:val="21"/>
          <w:szCs w:val="21"/>
        </w:rPr>
        <w:t xml:space="preserve">Portability proven on a second platform, performance and security targets evidenced, and the product made generally available with full documentation.</w:t>
      </w:r>
    </w:p>
    <w:p>
      <w:pPr>
        <w:keepNext/>
        <w:spacing w:after="60" w:before="120"/>
      </w:pPr>
      <w:r>
        <w:rPr>
          <w:rFonts w:ascii="Calibri" w:cs="Calibri" w:eastAsia="Calibri" w:hAnsi="Calibri"/>
          <w:b/>
          <w:bCs/>
          <w:color w:val="5A6B7B"/>
          <w:sz w:val="21"/>
          <w:szCs w:val="21"/>
        </w:rPr>
        <w:t xml:space="preserve">Scope</w:t>
      </w:r>
    </w:p>
    <w:p>
      <w:pPr>
        <w:pStyle w:val="ListParagraph"/>
        <w:numPr>
          <w:ilvl w:val="0"/>
          <w:numId w:val="2"/>
        </w:numPr>
        <w:spacing w:after="60" w:line="264"/>
      </w:pPr>
      <w:r>
        <w:rPr>
          <w:rFonts w:ascii="Calibri" w:cs="Calibri" w:eastAsia="Calibri" w:hAnsi="Calibri"/>
          <w:color w:val="1F2937"/>
          <w:sz w:val="21"/>
          <w:szCs w:val="21"/>
        </w:rPr>
        <w:t xml:space="preserve">Second target platform adapter; identical request deploys with only the platform value changed</w:t>
      </w:r>
      <w:r>
        <w:rPr>
          <w:rFonts w:ascii="Calibri" w:cs="Calibri" w:eastAsia="Calibri" w:hAnsi="Calibri"/>
          <w:color w:val="5A6B7B"/>
          <w:sz w:val="20"/>
          <w:szCs w:val="20"/>
        </w:rPr>
        <w:t xml:space="preserve">  (NFR-09; AC-08)</w:t>
      </w:r>
    </w:p>
    <w:p>
      <w:pPr>
        <w:pStyle w:val="ListParagraph"/>
        <w:numPr>
          <w:ilvl w:val="0"/>
          <w:numId w:val="2"/>
        </w:numPr>
        <w:spacing w:after="60" w:line="264"/>
      </w:pPr>
      <w:r>
        <w:rPr>
          <w:rFonts w:ascii="Calibri" w:cs="Calibri" w:eastAsia="Calibri" w:hAnsi="Calibri"/>
          <w:color w:val="1F2937"/>
          <w:sz w:val="21"/>
          <w:szCs w:val="21"/>
        </w:rPr>
        <w:t xml:space="preserve">Throughput hardening to the stated volume target on the reference compute tier</w:t>
      </w:r>
      <w:r>
        <w:rPr>
          <w:rFonts w:ascii="Calibri" w:cs="Calibri" w:eastAsia="Calibri" w:hAnsi="Calibri"/>
          <w:color w:val="5A6B7B"/>
          <w:sz w:val="20"/>
          <w:szCs w:val="20"/>
        </w:rPr>
        <w:t xml:space="preserve">  (NFR-02)</w:t>
      </w:r>
    </w:p>
    <w:p>
      <w:pPr>
        <w:pStyle w:val="ListParagraph"/>
        <w:numPr>
          <w:ilvl w:val="0"/>
          <w:numId w:val="2"/>
        </w:numPr>
        <w:spacing w:after="60" w:line="264"/>
      </w:pPr>
      <w:r>
        <w:rPr>
          <w:rFonts w:ascii="Calibri" w:cs="Calibri" w:eastAsia="Calibri" w:hAnsi="Calibri"/>
          <w:color w:val="1F2937"/>
          <w:sz w:val="21"/>
          <w:szCs w:val="21"/>
        </w:rPr>
        <w:t xml:space="preserve">Reliability evidence: run success rate and control-plane availability targets</w:t>
      </w:r>
      <w:r>
        <w:rPr>
          <w:rFonts w:ascii="Calibri" w:cs="Calibri" w:eastAsia="Calibri" w:hAnsi="Calibri"/>
          <w:color w:val="5A6B7B"/>
          <w:sz w:val="20"/>
          <w:szCs w:val="20"/>
        </w:rPr>
        <w:t xml:space="preserve">  (NFR-03)</w:t>
      </w:r>
    </w:p>
    <w:p>
      <w:pPr>
        <w:pStyle w:val="ListParagraph"/>
        <w:numPr>
          <w:ilvl w:val="0"/>
          <w:numId w:val="2"/>
        </w:numPr>
        <w:spacing w:after="60" w:line="264"/>
      </w:pPr>
      <w:r>
        <w:rPr>
          <w:rFonts w:ascii="Calibri" w:cs="Calibri" w:eastAsia="Calibri" w:hAnsi="Calibri"/>
          <w:color w:val="1F2937"/>
          <w:sz w:val="21"/>
          <w:szCs w:val="21"/>
        </w:rPr>
        <w:t xml:space="preserve">Static security scanning of generated code in the CI gate; least-privilege service principals</w:t>
      </w:r>
      <w:r>
        <w:rPr>
          <w:rFonts w:ascii="Calibri" w:cs="Calibri" w:eastAsia="Calibri" w:hAnsi="Calibri"/>
          <w:color w:val="5A6B7B"/>
          <w:sz w:val="20"/>
          <w:szCs w:val="20"/>
        </w:rPr>
        <w:t xml:space="preserve">  (NFR-05, NFR-06)</w:t>
      </w:r>
    </w:p>
    <w:p>
      <w:pPr>
        <w:pStyle w:val="ListParagraph"/>
        <w:numPr>
          <w:ilvl w:val="0"/>
          <w:numId w:val="2"/>
        </w:numPr>
        <w:spacing w:after="60" w:line="264"/>
      </w:pPr>
      <w:r>
        <w:rPr>
          <w:rFonts w:ascii="Calibri" w:cs="Calibri" w:eastAsia="Calibri" w:hAnsi="Calibri"/>
          <w:color w:val="1F2937"/>
          <w:sz w:val="21"/>
          <w:szCs w:val="21"/>
        </w:rPr>
        <w:t xml:space="preserve">Runbooks, operational documentation and handover material</w:t>
      </w:r>
      <w:r>
        <w:rPr>
          <w:rFonts w:ascii="Calibri" w:cs="Calibri" w:eastAsia="Calibri" w:hAnsi="Calibri"/>
          <w:color w:val="5A6B7B"/>
          <w:sz w:val="20"/>
          <w:szCs w:val="20"/>
        </w:rPr>
        <w:t xml:space="preserve">  (Sec 7.1)</w:t>
      </w:r>
    </w:p>
    <w:p>
      <w:pPr>
        <w:keepNext/>
        <w:spacing w:after="60" w:before="120"/>
      </w:pPr>
      <w:r>
        <w:rPr>
          <w:rFonts w:ascii="Calibri" w:cs="Calibri" w:eastAsia="Calibri" w:hAnsi="Calibri"/>
          <w:b/>
          <w:bCs/>
          <w:color w:val="5A6B7B"/>
          <w:sz w:val="21"/>
          <w:szCs w:val="21"/>
        </w:rPr>
        <w:t xml:space="preserve">Exit criteria</w:t>
      </w:r>
    </w:p>
    <w:p>
      <w:pPr>
        <w:pStyle w:val="ListParagraph"/>
        <w:numPr>
          <w:ilvl w:val="0"/>
          <w:numId w:val="2"/>
        </w:numPr>
        <w:spacing w:after="60" w:line="264"/>
      </w:pPr>
      <w:r>
        <w:rPr>
          <w:rFonts w:ascii="Calibri" w:cs="Calibri" w:eastAsia="Calibri" w:hAnsi="Calibri"/>
          <w:color w:val="1F2937"/>
          <w:sz w:val="21"/>
          <w:szCs w:val="21"/>
        </w:rPr>
        <w:t xml:space="preserve">The same request payload deploys successfully against the second platform</w:t>
      </w:r>
    </w:p>
    <w:p>
      <w:pPr>
        <w:pStyle w:val="ListParagraph"/>
        <w:numPr>
          <w:ilvl w:val="0"/>
          <w:numId w:val="2"/>
        </w:numPr>
        <w:spacing w:after="60" w:line="264"/>
      </w:pPr>
      <w:r>
        <w:rPr>
          <w:rFonts w:ascii="Calibri" w:cs="Calibri" w:eastAsia="Calibri" w:hAnsi="Calibri"/>
          <w:color w:val="1F2937"/>
          <w:sz w:val="21"/>
          <w:szCs w:val="21"/>
        </w:rPr>
        <w:t xml:space="preserve">Performance and reliability targets demonstrated with evidence</w:t>
      </w:r>
    </w:p>
    <w:p>
      <w:pPr>
        <w:pStyle w:val="ListParagraph"/>
        <w:numPr>
          <w:ilvl w:val="0"/>
          <w:numId w:val="2"/>
        </w:numPr>
        <w:spacing w:after="60" w:line="264"/>
      </w:pPr>
      <w:r>
        <w:rPr>
          <w:rFonts w:ascii="Calibri" w:cs="Calibri" w:eastAsia="Calibri" w:hAnsi="Calibri"/>
          <w:color w:val="1F2937"/>
          <w:sz w:val="21"/>
          <w:szCs w:val="21"/>
        </w:rPr>
        <w:t xml:space="preserve">Operations handover complete</w:t>
      </w:r>
    </w:p>
    <w:p>
      <w:pPr>
        <w:pStyle w:val="Heading1"/>
        <w:spacing w:after="160" w:before="320"/>
      </w:pPr>
      <w:r>
        <w:rPr>
          <w:rFonts w:ascii="Calibri" w:cs="Calibri" w:eastAsia="Calibri" w:hAnsi="Calibri"/>
          <w:b/>
          <w:bCs/>
          <w:color w:val="0F3B5C"/>
          <w:sz w:val="30"/>
          <w:szCs w:val="30"/>
        </w:rPr>
        <w:t xml:space="preserve">4.  Agent Plan</w:t>
      </w:r>
    </w:p>
    <w:p>
      <w:pPr>
        <w:spacing w:after="120" w:line="276"/>
      </w:pPr>
      <w:r>
        <w:rPr>
          <w:rFonts w:ascii="Calibri" w:cs="Calibri" w:eastAsia="Calibri" w:hAnsi="Calibri"/>
          <w:color w:val="1F2937"/>
          <w:sz w:val="21"/>
          <w:szCs w:val="21"/>
        </w:rPr>
        <w:t xml:space="preserve">The solution is built from six components: four agents and two deterministic services. An agent is a component that uses the LLM to reason; a service is conventional software with no AI involvement. The split is deliberate. The LLM interprets, drafts and diagnoses; deterministic components validate, deploy and execute. Once a pipeline is deployed, it runs with no AI dependency at all (Sec 12.2, NFR-08). This matches the six-component architecture in Sec 10 of the requirements document and the engineering view in the design deck.</w:t>
      </w:r>
    </w:p>
    <w:tbl>
      <w:tblPr>
        <w:tblW w:type="dxa" w:w="9800"/>
        <w:tblBorders>
          <w:top w:val="single" w:color="auto" w:sz="4"/>
          <w:left w:val="single" w:color="auto" w:sz="4"/>
          <w:bottom w:val="single" w:color="auto" w:sz="4"/>
          <w:right w:val="single" w:color="auto" w:sz="4"/>
          <w:insideH w:val="single" w:color="auto" w:sz="4"/>
          <w:insideV w:val="single" w:color="auto" w:sz="4"/>
        </w:tblBorders>
      </w:tblPr>
      <w:tblGrid>
        <w:gridCol w:w="1750"/>
        <w:gridCol w:w="1900"/>
        <w:gridCol w:w="4300"/>
        <w:gridCol w:w="1850"/>
      </w:tblGrid>
      <w:tr>
        <w:trPr>
          <w:tblHeader/>
        </w:trPr>
        <w:tc>
          <w:tcPr>
            <w:tcW w:type="dxa" w:w="1750"/>
            <w:tcBorders>
              <w:top w:val="single" w:color="C9D4DC" w:sz="4"/>
              <w:left w:val="single" w:color="C9D4DC" w:sz="4"/>
              <w:bottom w:val="single" w:color="C9D4DC" w:sz="4"/>
              <w:right w:val="single" w:color="C9D4DC" w:sz="4"/>
            </w:tcBorders>
            <w:shd w:fill="0F3B5C" w:val="clear"/>
            <w:tcMar>
              <w:top w:type="dxa" w:w="80"/>
              <w:left w:type="dxa" w:w="110"/>
              <w:bottom w:type="dxa" w:w="80"/>
              <w:right w:type="dxa" w:w="110"/>
            </w:tcMar>
          </w:tcPr>
          <w:p>
            <w:r>
              <w:rPr>
                <w:rFonts w:ascii="Calibri" w:cs="Calibri" w:eastAsia="Calibri" w:hAnsi="Calibri"/>
                <w:b/>
                <w:bCs/>
                <w:color w:val="FFFFFF"/>
                <w:sz w:val="20"/>
                <w:szCs w:val="20"/>
              </w:rPr>
              <w:t xml:space="preserve">Component</w:t>
            </w:r>
          </w:p>
        </w:tc>
        <w:tc>
          <w:tcPr>
            <w:tcW w:type="dxa" w:w="1900"/>
            <w:tcBorders>
              <w:top w:val="single" w:color="C9D4DC" w:sz="4"/>
              <w:left w:val="single" w:color="C9D4DC" w:sz="4"/>
              <w:bottom w:val="single" w:color="C9D4DC" w:sz="4"/>
              <w:right w:val="single" w:color="C9D4DC" w:sz="4"/>
            </w:tcBorders>
            <w:shd w:fill="0F3B5C" w:val="clear"/>
            <w:tcMar>
              <w:top w:type="dxa" w:w="80"/>
              <w:left w:type="dxa" w:w="110"/>
              <w:bottom w:type="dxa" w:w="80"/>
              <w:right w:type="dxa" w:w="110"/>
            </w:tcMar>
          </w:tcPr>
          <w:p>
            <w:r>
              <w:rPr>
                <w:rFonts w:ascii="Calibri" w:cs="Calibri" w:eastAsia="Calibri" w:hAnsi="Calibri"/>
                <w:b/>
                <w:bCs/>
                <w:color w:val="FFFFFF"/>
                <w:sz w:val="20"/>
                <w:szCs w:val="20"/>
              </w:rPr>
              <w:t xml:space="preserve">Type</w:t>
            </w:r>
          </w:p>
        </w:tc>
        <w:tc>
          <w:tcPr>
            <w:tcW w:type="dxa" w:w="4300"/>
            <w:tcBorders>
              <w:top w:val="single" w:color="C9D4DC" w:sz="4"/>
              <w:left w:val="single" w:color="C9D4DC" w:sz="4"/>
              <w:bottom w:val="single" w:color="C9D4DC" w:sz="4"/>
              <w:right w:val="single" w:color="C9D4DC" w:sz="4"/>
            </w:tcBorders>
            <w:shd w:fill="0F3B5C" w:val="clear"/>
            <w:tcMar>
              <w:top w:type="dxa" w:w="80"/>
              <w:left w:type="dxa" w:w="110"/>
              <w:bottom w:type="dxa" w:w="80"/>
              <w:right w:type="dxa" w:w="110"/>
            </w:tcMar>
          </w:tcPr>
          <w:p>
            <w:r>
              <w:rPr>
                <w:rFonts w:ascii="Calibri" w:cs="Calibri" w:eastAsia="Calibri" w:hAnsi="Calibri"/>
                <w:b/>
                <w:bCs/>
                <w:color w:val="FFFFFF"/>
                <w:sz w:val="20"/>
                <w:szCs w:val="20"/>
              </w:rPr>
              <w:t xml:space="preserve">Responsibility</w:t>
            </w:r>
          </w:p>
        </w:tc>
        <w:tc>
          <w:tcPr>
            <w:tcW w:type="dxa" w:w="1850"/>
            <w:tcBorders>
              <w:top w:val="single" w:color="C9D4DC" w:sz="4"/>
              <w:left w:val="single" w:color="C9D4DC" w:sz="4"/>
              <w:bottom w:val="single" w:color="C9D4DC" w:sz="4"/>
              <w:right w:val="single" w:color="C9D4DC" w:sz="4"/>
            </w:tcBorders>
            <w:shd w:fill="0F3B5C" w:val="clear"/>
            <w:tcMar>
              <w:top w:type="dxa" w:w="80"/>
              <w:left w:type="dxa" w:w="110"/>
              <w:bottom w:type="dxa" w:w="80"/>
              <w:right w:type="dxa" w:w="110"/>
            </w:tcMar>
          </w:tcPr>
          <w:p>
            <w:r>
              <w:rPr>
                <w:rFonts w:ascii="Calibri" w:cs="Calibri" w:eastAsia="Calibri" w:hAnsi="Calibri"/>
                <w:b/>
                <w:bCs/>
                <w:color w:val="FFFFFF"/>
                <w:sz w:val="20"/>
                <w:szCs w:val="20"/>
              </w:rPr>
              <w:t xml:space="preserve">Built in</w:t>
            </w:r>
          </w:p>
        </w:tc>
      </w:tr>
      <w:tr>
        <w:tc>
          <w:tcPr>
            <w:tcW w:type="dxa" w:w="1750"/>
            <w:tcBorders>
              <w:top w:val="single" w:color="C9D4DC" w:sz="4"/>
              <w:left w:val="single" w:color="C9D4DC" w:sz="4"/>
              <w:bottom w:val="single" w:color="C9D4DC" w:sz="4"/>
              <w:right w:val="single" w:color="C9D4DC" w:sz="4"/>
            </w:tcBorders>
            <w:tcMar>
              <w:top w:type="dxa" w:w="70"/>
              <w:left w:type="dxa" w:w="110"/>
              <w:bottom w:type="dxa" w:w="70"/>
              <w:right w:type="dxa" w:w="110"/>
            </w:tcMar>
          </w:tcPr>
          <w:p>
            <w:r>
              <w:rPr>
                <w:rFonts w:ascii="Calibri" w:cs="Calibri" w:eastAsia="Calibri" w:hAnsi="Calibri"/>
                <w:b/>
                <w:bCs/>
                <w:color w:val="1F2937"/>
                <w:sz w:val="20"/>
                <w:szCs w:val="20"/>
              </w:rPr>
              <w:t xml:space="preserve">A1 - Profiler Agent</w:t>
            </w:r>
          </w:p>
        </w:tc>
        <w:tc>
          <w:tcPr>
            <w:tcW w:type="dxa" w:w="1900"/>
            <w:tcBorders>
              <w:top w:val="single" w:color="C9D4DC" w:sz="4"/>
              <w:left w:val="single" w:color="C9D4DC" w:sz="4"/>
              <w:bottom w:val="single" w:color="C9D4DC" w:sz="4"/>
              <w:right w:val="single" w:color="C9D4DC" w:sz="4"/>
            </w:tcBorders>
            <w:tcMar>
              <w:top w:type="dxa" w:w="70"/>
              <w:left w:type="dxa" w:w="110"/>
              <w:bottom w:type="dxa" w:w="70"/>
              <w:right w:type="dxa" w:w="110"/>
            </w:tcMar>
          </w:tcPr>
          <w:p>
            <w:r>
              <w:rPr>
                <w:rFonts w:ascii="Calibri" w:cs="Calibri" w:eastAsia="Calibri" w:hAnsi="Calibri"/>
                <w:b w:val="false"/>
                <w:bCs w:val="false"/>
                <w:color w:val="1F2937"/>
                <w:sz w:val="20"/>
                <w:szCs w:val="20"/>
              </w:rPr>
              <w:t xml:space="preserve">LLM-assisted agent</w:t>
            </w:r>
          </w:p>
        </w:tc>
        <w:tc>
          <w:tcPr>
            <w:tcW w:type="dxa" w:w="4300"/>
            <w:tcBorders>
              <w:top w:val="single" w:color="C9D4DC" w:sz="4"/>
              <w:left w:val="single" w:color="C9D4DC" w:sz="4"/>
              <w:bottom w:val="single" w:color="C9D4DC" w:sz="4"/>
              <w:right w:val="single" w:color="C9D4DC" w:sz="4"/>
            </w:tcBorders>
            <w:tcMar>
              <w:top w:type="dxa" w:w="70"/>
              <w:left w:type="dxa" w:w="110"/>
              <w:bottom w:type="dxa" w:w="70"/>
              <w:right w:type="dxa" w:w="110"/>
            </w:tcMar>
          </w:tcPr>
          <w:p>
            <w:r>
              <w:rPr>
                <w:rFonts w:ascii="Calibri" w:cs="Calibri" w:eastAsia="Calibri" w:hAnsi="Calibri"/>
                <w:b w:val="false"/>
                <w:bCs w:val="false"/>
                <w:color w:val="1F2937"/>
                <w:sz w:val="20"/>
                <w:szCs w:val="20"/>
              </w:rPr>
              <w:t xml:space="preserve">Examines a newly declared source and recommends how to load it</w:t>
            </w:r>
          </w:p>
        </w:tc>
        <w:tc>
          <w:tcPr>
            <w:tcW w:type="dxa" w:w="1850"/>
            <w:tcBorders>
              <w:top w:val="single" w:color="C9D4DC" w:sz="4"/>
              <w:left w:val="single" w:color="C9D4DC" w:sz="4"/>
              <w:bottom w:val="single" w:color="C9D4DC" w:sz="4"/>
              <w:right w:val="single" w:color="C9D4DC" w:sz="4"/>
            </w:tcBorders>
            <w:tcMar>
              <w:top w:type="dxa" w:w="70"/>
              <w:left w:type="dxa" w:w="110"/>
              <w:bottom w:type="dxa" w:w="70"/>
              <w:right w:type="dxa" w:w="110"/>
            </w:tcMar>
          </w:tcPr>
          <w:p>
            <w:r>
              <w:rPr>
                <w:rFonts w:ascii="Calibri" w:cs="Calibri" w:eastAsia="Calibri" w:hAnsi="Calibri"/>
                <w:b w:val="false"/>
                <w:bCs w:val="false"/>
                <w:color w:val="1F2937"/>
                <w:sz w:val="20"/>
                <w:szCs w:val="20"/>
              </w:rPr>
              <w:t xml:space="preserve">Phase 3</w:t>
            </w:r>
          </w:p>
        </w:tc>
      </w:tr>
      <w:tr>
        <w:tc>
          <w:tcPr>
            <w:tcW w:type="dxa" w:w="1750"/>
            <w:tcBorders>
              <w:top w:val="single" w:color="C9D4DC" w:sz="4"/>
              <w:left w:val="single" w:color="C9D4DC" w:sz="4"/>
              <w:bottom w:val="single" w:color="C9D4DC" w:sz="4"/>
              <w:right w:val="single" w:color="C9D4DC" w:sz="4"/>
            </w:tcBorders>
            <w:shd w:fill="EEF3F7" w:val="clear"/>
            <w:tcMar>
              <w:top w:type="dxa" w:w="70"/>
              <w:left w:type="dxa" w:w="110"/>
              <w:bottom w:type="dxa" w:w="70"/>
              <w:right w:type="dxa" w:w="110"/>
            </w:tcMar>
          </w:tcPr>
          <w:p>
            <w:r>
              <w:rPr>
                <w:rFonts w:ascii="Calibri" w:cs="Calibri" w:eastAsia="Calibri" w:hAnsi="Calibri"/>
                <w:b/>
                <w:bCs/>
                <w:color w:val="1F2937"/>
                <w:sz w:val="20"/>
                <w:szCs w:val="20"/>
              </w:rPr>
              <w:t xml:space="preserve">A2 - Factory Agent (Generator)</w:t>
            </w:r>
          </w:p>
        </w:tc>
        <w:tc>
          <w:tcPr>
            <w:tcW w:type="dxa" w:w="1900"/>
            <w:tcBorders>
              <w:top w:val="single" w:color="C9D4DC" w:sz="4"/>
              <w:left w:val="single" w:color="C9D4DC" w:sz="4"/>
              <w:bottom w:val="single" w:color="C9D4DC" w:sz="4"/>
              <w:right w:val="single" w:color="C9D4DC" w:sz="4"/>
            </w:tcBorders>
            <w:shd w:fill="EEF3F7" w:val="clear"/>
            <w:tcMar>
              <w:top w:type="dxa" w:w="70"/>
              <w:left w:type="dxa" w:w="110"/>
              <w:bottom w:type="dxa" w:w="70"/>
              <w:right w:type="dxa" w:w="110"/>
            </w:tcMar>
          </w:tcPr>
          <w:p>
            <w:r>
              <w:rPr>
                <w:rFonts w:ascii="Calibri" w:cs="Calibri" w:eastAsia="Calibri" w:hAnsi="Calibri"/>
                <w:b w:val="false"/>
                <w:bCs w:val="false"/>
                <w:color w:val="1F2937"/>
                <w:sz w:val="20"/>
                <w:szCs w:val="20"/>
              </w:rPr>
              <w:t xml:space="preserve">Template engine first; LLM added later</w:t>
            </w:r>
          </w:p>
        </w:tc>
        <w:tc>
          <w:tcPr>
            <w:tcW w:type="dxa" w:w="4300"/>
            <w:tcBorders>
              <w:top w:val="single" w:color="C9D4DC" w:sz="4"/>
              <w:left w:val="single" w:color="C9D4DC" w:sz="4"/>
              <w:bottom w:val="single" w:color="C9D4DC" w:sz="4"/>
              <w:right w:val="single" w:color="C9D4DC" w:sz="4"/>
            </w:tcBorders>
            <w:shd w:fill="EEF3F7" w:val="clear"/>
            <w:tcMar>
              <w:top w:type="dxa" w:w="70"/>
              <w:left w:type="dxa" w:w="110"/>
              <w:bottom w:type="dxa" w:w="70"/>
              <w:right w:type="dxa" w:w="110"/>
            </w:tcMar>
          </w:tcPr>
          <w:p>
            <w:r>
              <w:rPr>
                <w:rFonts w:ascii="Calibri" w:cs="Calibri" w:eastAsia="Calibri" w:hAnsi="Calibri"/>
                <w:b w:val="false"/>
                <w:bCs w:val="false"/>
                <w:color w:val="1F2937"/>
                <w:sz w:val="20"/>
                <w:szCs w:val="20"/>
              </w:rPr>
              <w:t xml:space="preserve">Manufactures pipeline code, quality rules and orchestration definitions from metadata</w:t>
            </w:r>
          </w:p>
        </w:tc>
        <w:tc>
          <w:tcPr>
            <w:tcW w:type="dxa" w:w="1850"/>
            <w:tcBorders>
              <w:top w:val="single" w:color="C9D4DC" w:sz="4"/>
              <w:left w:val="single" w:color="C9D4DC" w:sz="4"/>
              <w:bottom w:val="single" w:color="C9D4DC" w:sz="4"/>
              <w:right w:val="single" w:color="C9D4DC" w:sz="4"/>
            </w:tcBorders>
            <w:shd w:fill="EEF3F7" w:val="clear"/>
            <w:tcMar>
              <w:top w:type="dxa" w:w="70"/>
              <w:left w:type="dxa" w:w="110"/>
              <w:bottom w:type="dxa" w:w="70"/>
              <w:right w:type="dxa" w:w="110"/>
            </w:tcMar>
          </w:tcPr>
          <w:p>
            <w:r>
              <w:rPr>
                <w:rFonts w:ascii="Calibri" w:cs="Calibri" w:eastAsia="Calibri" w:hAnsi="Calibri"/>
                <w:b w:val="false"/>
                <w:bCs w:val="false"/>
                <w:color w:val="1F2937"/>
                <w:sz w:val="20"/>
                <w:szCs w:val="20"/>
              </w:rPr>
              <w:t xml:space="preserve">Phases 2 - 3</w:t>
            </w:r>
          </w:p>
        </w:tc>
      </w:tr>
      <w:tr>
        <w:tc>
          <w:tcPr>
            <w:tcW w:type="dxa" w:w="1750"/>
            <w:tcBorders>
              <w:top w:val="single" w:color="C9D4DC" w:sz="4"/>
              <w:left w:val="single" w:color="C9D4DC" w:sz="4"/>
              <w:bottom w:val="single" w:color="C9D4DC" w:sz="4"/>
              <w:right w:val="single" w:color="C9D4DC" w:sz="4"/>
            </w:tcBorders>
            <w:tcMar>
              <w:top w:type="dxa" w:w="70"/>
              <w:left w:type="dxa" w:w="110"/>
              <w:bottom w:type="dxa" w:w="70"/>
              <w:right w:type="dxa" w:w="110"/>
            </w:tcMar>
          </w:tcPr>
          <w:p>
            <w:r>
              <w:rPr>
                <w:rFonts w:ascii="Calibri" w:cs="Calibri" w:eastAsia="Calibri" w:hAnsi="Calibri"/>
                <w:b/>
                <w:bCs/>
                <w:color w:val="1F2937"/>
                <w:sz w:val="20"/>
                <w:szCs w:val="20"/>
              </w:rPr>
              <w:t xml:space="preserve">A3 - SelfHeal Agent (Sentinel)</w:t>
            </w:r>
          </w:p>
        </w:tc>
        <w:tc>
          <w:tcPr>
            <w:tcW w:type="dxa" w:w="1900"/>
            <w:tcBorders>
              <w:top w:val="single" w:color="C9D4DC" w:sz="4"/>
              <w:left w:val="single" w:color="C9D4DC" w:sz="4"/>
              <w:bottom w:val="single" w:color="C9D4DC" w:sz="4"/>
              <w:right w:val="single" w:color="C9D4DC" w:sz="4"/>
            </w:tcBorders>
            <w:tcMar>
              <w:top w:type="dxa" w:w="70"/>
              <w:left w:type="dxa" w:w="110"/>
              <w:bottom w:type="dxa" w:w="70"/>
              <w:right w:type="dxa" w:w="110"/>
            </w:tcMar>
          </w:tcPr>
          <w:p>
            <w:r>
              <w:rPr>
                <w:rFonts w:ascii="Calibri" w:cs="Calibri" w:eastAsia="Calibri" w:hAnsi="Calibri"/>
                <w:b w:val="false"/>
                <w:bCs w:val="false"/>
                <w:color w:val="1F2937"/>
                <w:sz w:val="20"/>
                <w:szCs w:val="20"/>
              </w:rPr>
              <w:t xml:space="preserve">LLM-assisted agent</w:t>
            </w:r>
          </w:p>
        </w:tc>
        <w:tc>
          <w:tcPr>
            <w:tcW w:type="dxa" w:w="4300"/>
            <w:tcBorders>
              <w:top w:val="single" w:color="C9D4DC" w:sz="4"/>
              <w:left w:val="single" w:color="C9D4DC" w:sz="4"/>
              <w:bottom w:val="single" w:color="C9D4DC" w:sz="4"/>
              <w:right w:val="single" w:color="C9D4DC" w:sz="4"/>
            </w:tcBorders>
            <w:tcMar>
              <w:top w:type="dxa" w:w="70"/>
              <w:left w:type="dxa" w:w="110"/>
              <w:bottom w:type="dxa" w:w="70"/>
              <w:right w:type="dxa" w:w="110"/>
            </w:tcMar>
          </w:tcPr>
          <w:p>
            <w:r>
              <w:rPr>
                <w:rFonts w:ascii="Calibri" w:cs="Calibri" w:eastAsia="Calibri" w:hAnsi="Calibri"/>
                <w:b w:val="false"/>
                <w:bCs w:val="false"/>
                <w:color w:val="1F2937"/>
                <w:sz w:val="20"/>
                <w:szCs w:val="20"/>
              </w:rPr>
              <w:t xml:space="preserve">Watches every run, fixes safe failures automatically, escalates the rest with a diagnosis</w:t>
            </w:r>
          </w:p>
        </w:tc>
        <w:tc>
          <w:tcPr>
            <w:tcW w:type="dxa" w:w="1850"/>
            <w:tcBorders>
              <w:top w:val="single" w:color="C9D4DC" w:sz="4"/>
              <w:left w:val="single" w:color="C9D4DC" w:sz="4"/>
              <w:bottom w:val="single" w:color="C9D4DC" w:sz="4"/>
              <w:right w:val="single" w:color="C9D4DC" w:sz="4"/>
            </w:tcBorders>
            <w:tcMar>
              <w:top w:type="dxa" w:w="70"/>
              <w:left w:type="dxa" w:w="110"/>
              <w:bottom w:type="dxa" w:w="70"/>
              <w:right w:type="dxa" w:w="110"/>
            </w:tcMar>
          </w:tcPr>
          <w:p>
            <w:r>
              <w:rPr>
                <w:rFonts w:ascii="Calibri" w:cs="Calibri" w:eastAsia="Calibri" w:hAnsi="Calibri"/>
                <w:b w:val="false"/>
                <w:bCs w:val="false"/>
                <w:color w:val="1F2937"/>
                <w:sz w:val="20"/>
                <w:szCs w:val="20"/>
              </w:rPr>
              <w:t xml:space="preserve">Phases 4 - 5</w:t>
            </w:r>
          </w:p>
        </w:tc>
      </w:tr>
      <w:tr>
        <w:tc>
          <w:tcPr>
            <w:tcW w:type="dxa" w:w="1750"/>
            <w:tcBorders>
              <w:top w:val="single" w:color="C9D4DC" w:sz="4"/>
              <w:left w:val="single" w:color="C9D4DC" w:sz="4"/>
              <w:bottom w:val="single" w:color="C9D4DC" w:sz="4"/>
              <w:right w:val="single" w:color="C9D4DC" w:sz="4"/>
            </w:tcBorders>
            <w:shd w:fill="EEF3F7" w:val="clear"/>
            <w:tcMar>
              <w:top w:type="dxa" w:w="70"/>
              <w:left w:type="dxa" w:w="110"/>
              <w:bottom w:type="dxa" w:w="70"/>
              <w:right w:type="dxa" w:w="110"/>
            </w:tcMar>
          </w:tcPr>
          <w:p>
            <w:r>
              <w:rPr>
                <w:rFonts w:ascii="Calibri" w:cs="Calibri" w:eastAsia="Calibri" w:hAnsi="Calibri"/>
                <w:b/>
                <w:bCs/>
                <w:color w:val="1F2937"/>
                <w:sz w:val="20"/>
                <w:szCs w:val="20"/>
              </w:rPr>
              <w:t xml:space="preserve">A4 - Request Agent</w:t>
            </w:r>
          </w:p>
        </w:tc>
        <w:tc>
          <w:tcPr>
            <w:tcW w:type="dxa" w:w="1900"/>
            <w:tcBorders>
              <w:top w:val="single" w:color="C9D4DC" w:sz="4"/>
              <w:left w:val="single" w:color="C9D4DC" w:sz="4"/>
              <w:bottom w:val="single" w:color="C9D4DC" w:sz="4"/>
              <w:right w:val="single" w:color="C9D4DC" w:sz="4"/>
            </w:tcBorders>
            <w:shd w:fill="EEF3F7" w:val="clear"/>
            <w:tcMar>
              <w:top w:type="dxa" w:w="70"/>
              <w:left w:type="dxa" w:w="110"/>
              <w:bottom w:type="dxa" w:w="70"/>
              <w:right w:type="dxa" w:w="110"/>
            </w:tcMar>
          </w:tcPr>
          <w:p>
            <w:r>
              <w:rPr>
                <w:rFonts w:ascii="Calibri" w:cs="Calibri" w:eastAsia="Calibri" w:hAnsi="Calibri"/>
                <w:b w:val="false"/>
                <w:bCs w:val="false"/>
                <w:color w:val="1F2937"/>
                <w:sz w:val="20"/>
                <w:szCs w:val="20"/>
              </w:rPr>
              <w:t xml:space="preserve">LLM-assisted agent</w:t>
            </w:r>
          </w:p>
        </w:tc>
        <w:tc>
          <w:tcPr>
            <w:tcW w:type="dxa" w:w="4300"/>
            <w:tcBorders>
              <w:top w:val="single" w:color="C9D4DC" w:sz="4"/>
              <w:left w:val="single" w:color="C9D4DC" w:sz="4"/>
              <w:bottom w:val="single" w:color="C9D4DC" w:sz="4"/>
              <w:right w:val="single" w:color="C9D4DC" w:sz="4"/>
            </w:tcBorders>
            <w:shd w:fill="EEF3F7" w:val="clear"/>
            <w:tcMar>
              <w:top w:type="dxa" w:w="70"/>
              <w:left w:type="dxa" w:w="110"/>
              <w:bottom w:type="dxa" w:w="70"/>
              <w:right w:type="dxa" w:w="110"/>
            </w:tcMar>
          </w:tcPr>
          <w:p>
            <w:r>
              <w:rPr>
                <w:rFonts w:ascii="Calibri" w:cs="Calibri" w:eastAsia="Calibri" w:hAnsi="Calibri"/>
                <w:b w:val="false"/>
                <w:bCs w:val="false"/>
                <w:color w:val="1F2937"/>
                <w:sz w:val="20"/>
                <w:szCs w:val="20"/>
              </w:rPr>
              <w:t xml:space="preserve">Turns plain-language requests into the structured API request contract</w:t>
            </w:r>
          </w:p>
        </w:tc>
        <w:tc>
          <w:tcPr>
            <w:tcW w:type="dxa" w:w="1850"/>
            <w:tcBorders>
              <w:top w:val="single" w:color="C9D4DC" w:sz="4"/>
              <w:left w:val="single" w:color="C9D4DC" w:sz="4"/>
              <w:bottom w:val="single" w:color="C9D4DC" w:sz="4"/>
              <w:right w:val="single" w:color="C9D4DC" w:sz="4"/>
            </w:tcBorders>
            <w:shd w:fill="EEF3F7" w:val="clear"/>
            <w:tcMar>
              <w:top w:type="dxa" w:w="70"/>
              <w:left w:type="dxa" w:w="110"/>
              <w:bottom w:type="dxa" w:w="70"/>
              <w:right w:type="dxa" w:w="110"/>
            </w:tcMar>
          </w:tcPr>
          <w:p>
            <w:r>
              <w:rPr>
                <w:rFonts w:ascii="Calibri" w:cs="Calibri" w:eastAsia="Calibri" w:hAnsi="Calibri"/>
                <w:b w:val="false"/>
                <w:bCs w:val="false"/>
                <w:color w:val="1F2937"/>
                <w:sz w:val="20"/>
                <w:szCs w:val="20"/>
              </w:rPr>
              <w:t xml:space="preserve">Phase 6</w:t>
            </w:r>
          </w:p>
        </w:tc>
      </w:tr>
      <w:tr>
        <w:tc>
          <w:tcPr>
            <w:tcW w:type="dxa" w:w="1750"/>
            <w:tcBorders>
              <w:top w:val="single" w:color="C9D4DC" w:sz="4"/>
              <w:left w:val="single" w:color="C9D4DC" w:sz="4"/>
              <w:bottom w:val="single" w:color="C9D4DC" w:sz="4"/>
              <w:right w:val="single" w:color="C9D4DC" w:sz="4"/>
            </w:tcBorders>
            <w:tcMar>
              <w:top w:type="dxa" w:w="70"/>
              <w:left w:type="dxa" w:w="110"/>
              <w:bottom w:type="dxa" w:w="70"/>
              <w:right w:type="dxa" w:w="110"/>
            </w:tcMar>
          </w:tcPr>
          <w:p>
            <w:r>
              <w:rPr>
                <w:rFonts w:ascii="Calibri" w:cs="Calibri" w:eastAsia="Calibri" w:hAnsi="Calibri"/>
                <w:b/>
                <w:bCs/>
                <w:color w:val="1F2937"/>
                <w:sz w:val="20"/>
                <w:szCs w:val="20"/>
              </w:rPr>
              <w:t xml:space="preserve">S1 - Validator</w:t>
            </w:r>
          </w:p>
        </w:tc>
        <w:tc>
          <w:tcPr>
            <w:tcW w:type="dxa" w:w="1900"/>
            <w:tcBorders>
              <w:top w:val="single" w:color="C9D4DC" w:sz="4"/>
              <w:left w:val="single" w:color="C9D4DC" w:sz="4"/>
              <w:bottom w:val="single" w:color="C9D4DC" w:sz="4"/>
              <w:right w:val="single" w:color="C9D4DC" w:sz="4"/>
            </w:tcBorders>
            <w:tcMar>
              <w:top w:type="dxa" w:w="70"/>
              <w:left w:type="dxa" w:w="110"/>
              <w:bottom w:type="dxa" w:w="70"/>
              <w:right w:type="dxa" w:w="110"/>
            </w:tcMar>
          </w:tcPr>
          <w:p>
            <w:r>
              <w:rPr>
                <w:rFonts w:ascii="Calibri" w:cs="Calibri" w:eastAsia="Calibri" w:hAnsi="Calibri"/>
                <w:b w:val="false"/>
                <w:bCs w:val="false"/>
                <w:color w:val="1F2937"/>
                <w:sz w:val="20"/>
                <w:szCs w:val="20"/>
              </w:rPr>
              <w:t xml:space="preserve">Deterministic service - no AI</w:t>
            </w:r>
          </w:p>
        </w:tc>
        <w:tc>
          <w:tcPr>
            <w:tcW w:type="dxa" w:w="4300"/>
            <w:tcBorders>
              <w:top w:val="single" w:color="C9D4DC" w:sz="4"/>
              <w:left w:val="single" w:color="C9D4DC" w:sz="4"/>
              <w:bottom w:val="single" w:color="C9D4DC" w:sz="4"/>
              <w:right w:val="single" w:color="C9D4DC" w:sz="4"/>
            </w:tcBorders>
            <w:tcMar>
              <w:top w:type="dxa" w:w="70"/>
              <w:left w:type="dxa" w:w="110"/>
              <w:bottom w:type="dxa" w:w="70"/>
              <w:right w:type="dxa" w:w="110"/>
            </w:tcMar>
          </w:tcPr>
          <w:p>
            <w:r>
              <w:rPr>
                <w:rFonts w:ascii="Calibri" w:cs="Calibri" w:eastAsia="Calibri" w:hAnsi="Calibri"/>
                <w:b w:val="false"/>
                <w:bCs w:val="false"/>
                <w:color w:val="1F2937"/>
                <w:sz w:val="20"/>
                <w:szCs w:val="20"/>
              </w:rPr>
              <w:t xml:space="preserve">Checks every generated pipeline in a sandbox before it can be promoted</w:t>
            </w:r>
          </w:p>
        </w:tc>
        <w:tc>
          <w:tcPr>
            <w:tcW w:type="dxa" w:w="1850"/>
            <w:tcBorders>
              <w:top w:val="single" w:color="C9D4DC" w:sz="4"/>
              <w:left w:val="single" w:color="C9D4DC" w:sz="4"/>
              <w:bottom w:val="single" w:color="C9D4DC" w:sz="4"/>
              <w:right w:val="single" w:color="C9D4DC" w:sz="4"/>
            </w:tcBorders>
            <w:tcMar>
              <w:top w:type="dxa" w:w="70"/>
              <w:left w:type="dxa" w:w="110"/>
              <w:bottom w:type="dxa" w:w="70"/>
              <w:right w:type="dxa" w:w="110"/>
            </w:tcMar>
          </w:tcPr>
          <w:p>
            <w:r>
              <w:rPr>
                <w:rFonts w:ascii="Calibri" w:cs="Calibri" w:eastAsia="Calibri" w:hAnsi="Calibri"/>
                <w:b w:val="false"/>
                <w:bCs w:val="false"/>
                <w:color w:val="1F2937"/>
                <w:sz w:val="20"/>
                <w:szCs w:val="20"/>
              </w:rPr>
              <w:t xml:space="preserve">Phase 2</w:t>
            </w:r>
          </w:p>
        </w:tc>
      </w:tr>
      <w:tr>
        <w:tc>
          <w:tcPr>
            <w:tcW w:type="dxa" w:w="1750"/>
            <w:tcBorders>
              <w:top w:val="single" w:color="C9D4DC" w:sz="4"/>
              <w:left w:val="single" w:color="C9D4DC" w:sz="4"/>
              <w:bottom w:val="single" w:color="C9D4DC" w:sz="4"/>
              <w:right w:val="single" w:color="C9D4DC" w:sz="4"/>
            </w:tcBorders>
            <w:shd w:fill="EEF3F7" w:val="clear"/>
            <w:tcMar>
              <w:top w:type="dxa" w:w="70"/>
              <w:left w:type="dxa" w:w="110"/>
              <w:bottom w:type="dxa" w:w="70"/>
              <w:right w:type="dxa" w:w="110"/>
            </w:tcMar>
          </w:tcPr>
          <w:p>
            <w:r>
              <w:rPr>
                <w:rFonts w:ascii="Calibri" w:cs="Calibri" w:eastAsia="Calibri" w:hAnsi="Calibri"/>
                <w:b/>
                <w:bCs/>
                <w:color w:val="1F2937"/>
                <w:sz w:val="20"/>
                <w:szCs w:val="20"/>
              </w:rPr>
              <w:t xml:space="preserve">S2 - Deployer</w:t>
            </w:r>
          </w:p>
        </w:tc>
        <w:tc>
          <w:tcPr>
            <w:tcW w:type="dxa" w:w="1900"/>
            <w:tcBorders>
              <w:top w:val="single" w:color="C9D4DC" w:sz="4"/>
              <w:left w:val="single" w:color="C9D4DC" w:sz="4"/>
              <w:bottom w:val="single" w:color="C9D4DC" w:sz="4"/>
              <w:right w:val="single" w:color="C9D4DC" w:sz="4"/>
            </w:tcBorders>
            <w:shd w:fill="EEF3F7" w:val="clear"/>
            <w:tcMar>
              <w:top w:type="dxa" w:w="70"/>
              <w:left w:type="dxa" w:w="110"/>
              <w:bottom w:type="dxa" w:w="70"/>
              <w:right w:type="dxa" w:w="110"/>
            </w:tcMar>
          </w:tcPr>
          <w:p>
            <w:r>
              <w:rPr>
                <w:rFonts w:ascii="Calibri" w:cs="Calibri" w:eastAsia="Calibri" w:hAnsi="Calibri"/>
                <w:b w:val="false"/>
                <w:bCs w:val="false"/>
                <w:color w:val="1F2937"/>
                <w:sz w:val="20"/>
                <w:szCs w:val="20"/>
              </w:rPr>
              <w:t xml:space="preserve">Deterministic service - no AI</w:t>
            </w:r>
          </w:p>
        </w:tc>
        <w:tc>
          <w:tcPr>
            <w:tcW w:type="dxa" w:w="4300"/>
            <w:tcBorders>
              <w:top w:val="single" w:color="C9D4DC" w:sz="4"/>
              <w:left w:val="single" w:color="C9D4DC" w:sz="4"/>
              <w:bottom w:val="single" w:color="C9D4DC" w:sz="4"/>
              <w:right w:val="single" w:color="C9D4DC" w:sz="4"/>
            </w:tcBorders>
            <w:shd w:fill="EEF3F7" w:val="clear"/>
            <w:tcMar>
              <w:top w:type="dxa" w:w="70"/>
              <w:left w:type="dxa" w:w="110"/>
              <w:bottom w:type="dxa" w:w="70"/>
              <w:right w:type="dxa" w:w="110"/>
            </w:tcMar>
          </w:tcPr>
          <w:p>
            <w:r>
              <w:rPr>
                <w:rFonts w:ascii="Calibri" w:cs="Calibri" w:eastAsia="Calibri" w:hAnsi="Calibri"/>
                <w:b w:val="false"/>
                <w:bCs w:val="false"/>
                <w:color w:val="1F2937"/>
                <w:sz w:val="20"/>
                <w:szCs w:val="20"/>
              </w:rPr>
              <w:t xml:space="preserve">Provisions target objects, registers schedules and records lineage</w:t>
            </w:r>
          </w:p>
        </w:tc>
        <w:tc>
          <w:tcPr>
            <w:tcW w:type="dxa" w:w="1850"/>
            <w:tcBorders>
              <w:top w:val="single" w:color="C9D4DC" w:sz="4"/>
              <w:left w:val="single" w:color="C9D4DC" w:sz="4"/>
              <w:bottom w:val="single" w:color="C9D4DC" w:sz="4"/>
              <w:right w:val="single" w:color="C9D4DC" w:sz="4"/>
            </w:tcBorders>
            <w:shd w:fill="EEF3F7" w:val="clear"/>
            <w:tcMar>
              <w:top w:type="dxa" w:w="70"/>
              <w:left w:type="dxa" w:w="110"/>
              <w:bottom w:type="dxa" w:w="70"/>
              <w:right w:type="dxa" w:w="110"/>
            </w:tcMar>
          </w:tcPr>
          <w:p>
            <w:r>
              <w:rPr>
                <w:rFonts w:ascii="Calibri" w:cs="Calibri" w:eastAsia="Calibri" w:hAnsi="Calibri"/>
                <w:b w:val="false"/>
                <w:bCs w:val="false"/>
                <w:color w:val="1F2937"/>
                <w:sz w:val="20"/>
                <w:szCs w:val="20"/>
              </w:rPr>
              <w:t xml:space="preserve">Phases 2 - 3</w:t>
            </w:r>
          </w:p>
        </w:tc>
      </w:tr>
    </w:tbl>
    <w:p>
      <w:pPr>
        <w:spacing w:after="120" w:line="276"/>
      </w:pPr>
      <w:r>
        <w:rPr>
          <w:rFonts w:ascii="Calibri" w:cs="Calibri" w:eastAsia="Calibri" w:hAnsi="Calibri"/>
          <w:color w:val="1F2937"/>
          <w:sz w:val="21"/>
          <w:szCs w:val="21"/>
        </w:rPr>
        <w:t xml:space="preserve"> </w:t>
      </w:r>
    </w:p>
    <w:p>
      <w:pPr>
        <w:pStyle w:val="Heading2"/>
        <w:keepNext/>
        <w:spacing w:after="120" w:before="280"/>
      </w:pPr>
      <w:r>
        <w:rPr>
          <w:rFonts w:ascii="Calibri" w:cs="Calibri" w:eastAsia="Calibri" w:hAnsi="Calibri"/>
          <w:b/>
          <w:bCs/>
          <w:color w:val="0F3B5C"/>
          <w:sz w:val="25"/>
          <w:szCs w:val="25"/>
        </w:rPr>
        <w:t xml:space="preserve">A1 - Profiler Agent  (built in Phase 3)</w:t>
      </w:r>
    </w:p>
    <w:p>
      <w:pPr>
        <w:spacing w:after="120" w:line="276"/>
      </w:pPr>
      <w:r>
        <w:rPr>
          <w:rFonts w:ascii="Calibri" w:cs="Calibri" w:eastAsia="Calibri" w:hAnsi="Calibri"/>
          <w:b/>
          <w:bCs/>
          <w:color w:val="5A6B7B"/>
          <w:sz w:val="21"/>
          <w:szCs w:val="21"/>
        </w:rPr>
        <w:t xml:space="preserve">Role:  </w:t>
      </w:r>
      <w:r>
        <w:rPr>
          <w:rFonts w:ascii="Calibri" w:cs="Calibri" w:eastAsia="Calibri" w:hAnsi="Calibri"/>
          <w:color w:val="1F2937"/>
          <w:sz w:val="21"/>
          <w:szCs w:val="21"/>
        </w:rPr>
        <w:t xml:space="preserve">Examines a newly declared source and produces everything the factory needs to know about it before a single line of pipeline code is generated.</w:t>
      </w:r>
    </w:p>
    <w:p>
      <w:pPr>
        <w:keepNext/>
        <w:spacing w:after="60" w:before="120"/>
      </w:pPr>
      <w:r>
        <w:rPr>
          <w:rFonts w:ascii="Calibri" w:cs="Calibri" w:eastAsia="Calibri" w:hAnsi="Calibri"/>
          <w:b/>
          <w:bCs/>
          <w:color w:val="5A6B7B"/>
          <w:sz w:val="21"/>
          <w:szCs w:val="21"/>
        </w:rPr>
        <w:t xml:space="preserve">How it works</w:t>
      </w:r>
    </w:p>
    <w:p>
      <w:pPr>
        <w:pStyle w:val="ListParagraph"/>
        <w:numPr>
          <w:ilvl w:val="0"/>
          <w:numId w:val="2"/>
        </w:numPr>
        <w:spacing w:after="60" w:line="264"/>
      </w:pPr>
      <w:r>
        <w:rPr>
          <w:rFonts w:ascii="Calibri" w:cs="Calibri" w:eastAsia="Calibri" w:hAnsi="Calibri"/>
          <w:color w:val="1F2937"/>
          <w:sz w:val="21"/>
          <w:szCs w:val="21"/>
        </w:rPr>
        <w:t xml:space="preserve">Connects using credentials issued at run time by the secrets vault; credentials never appear in configuration, logs or generated code</w:t>
      </w:r>
      <w:r>
        <w:rPr>
          <w:rFonts w:ascii="Calibri" w:cs="Calibri" w:eastAsia="Calibri" w:hAnsi="Calibri"/>
          <w:color w:val="5A6B7B"/>
          <w:sz w:val="20"/>
          <w:szCs w:val="20"/>
        </w:rPr>
        <w:t xml:space="preserve">  (FR-01.1)</w:t>
      </w:r>
    </w:p>
    <w:p>
      <w:pPr>
        <w:pStyle w:val="ListParagraph"/>
        <w:numPr>
          <w:ilvl w:val="0"/>
          <w:numId w:val="2"/>
        </w:numPr>
        <w:spacing w:after="60" w:line="264"/>
      </w:pPr>
      <w:r>
        <w:rPr>
          <w:rFonts w:ascii="Calibri" w:cs="Calibri" w:eastAsia="Calibri" w:hAnsi="Calibri"/>
          <w:color w:val="1F2937"/>
          <w:sz w:val="21"/>
          <w:szCs w:val="21"/>
        </w:rPr>
        <w:t xml:space="preserve">Runs deterministic profiling queries: table inventory, column types, null ratios, candidate keys, row volumes, observed update frequency</w:t>
      </w:r>
      <w:r>
        <w:rPr>
          <w:rFonts w:ascii="Calibri" w:cs="Calibri" w:eastAsia="Calibri" w:hAnsi="Calibri"/>
          <w:color w:val="5A6B7B"/>
          <w:sz w:val="20"/>
          <w:szCs w:val="20"/>
        </w:rPr>
        <w:t xml:space="preserve">  (FR-01.2)</w:t>
      </w:r>
    </w:p>
    <w:p>
      <w:pPr>
        <w:pStyle w:val="ListParagraph"/>
        <w:numPr>
          <w:ilvl w:val="0"/>
          <w:numId w:val="2"/>
        </w:numPr>
        <w:spacing w:after="60" w:line="264"/>
      </w:pPr>
      <w:r>
        <w:rPr>
          <w:rFonts w:ascii="Calibri" w:cs="Calibri" w:eastAsia="Calibri" w:hAnsi="Calibri"/>
          <w:color w:val="1F2937"/>
          <w:sz w:val="21"/>
          <w:szCs w:val="21"/>
        </w:rPr>
        <w:t xml:space="preserve">The LLM reads the profiling results and writes the load-strategy recommendation, full, incremental or CDC, with a stated rationale</w:t>
      </w:r>
      <w:r>
        <w:rPr>
          <w:rFonts w:ascii="Calibri" w:cs="Calibri" w:eastAsia="Calibri" w:hAnsi="Calibri"/>
          <w:color w:val="5A6B7B"/>
          <w:sz w:val="20"/>
          <w:szCs w:val="20"/>
        </w:rPr>
        <w:t xml:space="preserve">  (FR-01.3)</w:t>
      </w:r>
    </w:p>
    <w:p>
      <w:pPr>
        <w:pStyle w:val="ListParagraph"/>
        <w:numPr>
          <w:ilvl w:val="0"/>
          <w:numId w:val="2"/>
        </w:numPr>
        <w:spacing w:after="60" w:line="264"/>
      </w:pPr>
      <w:r>
        <w:rPr>
          <w:rFonts w:ascii="Calibri" w:cs="Calibri" w:eastAsia="Calibri" w:hAnsi="Calibri"/>
          <w:color w:val="1F2937"/>
          <w:sz w:val="21"/>
          <w:szCs w:val="21"/>
        </w:rPr>
        <w:t xml:space="preserve">Columns likely to contain personal or sensitive data are flagged for steward review</w:t>
      </w:r>
      <w:r>
        <w:rPr>
          <w:rFonts w:ascii="Calibri" w:cs="Calibri" w:eastAsia="Calibri" w:hAnsi="Calibri"/>
          <w:color w:val="5A6B7B"/>
          <w:sz w:val="20"/>
          <w:szCs w:val="20"/>
        </w:rPr>
        <w:t xml:space="preserve">  (FR-01.4)</w:t>
      </w:r>
    </w:p>
    <w:p>
      <w:pPr>
        <w:keepNext/>
        <w:spacing w:after="60" w:before="120"/>
      </w:pPr>
      <w:r>
        <w:rPr>
          <w:rFonts w:ascii="Calibri" w:cs="Calibri" w:eastAsia="Calibri" w:hAnsi="Calibri"/>
          <w:b/>
          <w:bCs/>
          <w:color w:val="5A6B7B"/>
          <w:sz w:val="21"/>
          <w:szCs w:val="21"/>
        </w:rPr>
        <w:t xml:space="preserve">Inputs</w:t>
      </w:r>
    </w:p>
    <w:p>
      <w:pPr>
        <w:pStyle w:val="ListParagraph"/>
        <w:numPr>
          <w:ilvl w:val="0"/>
          <w:numId w:val="2"/>
        </w:numPr>
        <w:spacing w:after="60" w:line="264"/>
      </w:pPr>
      <w:r>
        <w:rPr>
          <w:rFonts w:ascii="Calibri" w:cs="Calibri" w:eastAsia="Calibri" w:hAnsi="Calibri"/>
          <w:color w:val="1F2937"/>
          <w:sz w:val="21"/>
          <w:szCs w:val="21"/>
        </w:rPr>
        <w:t xml:space="preserve">A connection reference pointing to a vault entry, and the list of entities to examine</w:t>
      </w:r>
      <w:r>
        <w:rPr>
          <w:rFonts w:ascii="Calibri" w:cs="Calibri" w:eastAsia="Calibri" w:hAnsi="Calibri"/>
          <w:color w:val="5A6B7B"/>
          <w:sz w:val="20"/>
          <w:szCs w:val="20"/>
        </w:rPr>
        <w:t xml:space="preserve">  (Sec 6.1)</w:t>
      </w:r>
    </w:p>
    <w:p>
      <w:pPr>
        <w:keepNext/>
        <w:spacing w:after="60" w:before="120"/>
      </w:pPr>
      <w:r>
        <w:rPr>
          <w:rFonts w:ascii="Calibri" w:cs="Calibri" w:eastAsia="Calibri" w:hAnsi="Calibri"/>
          <w:b/>
          <w:bCs/>
          <w:color w:val="5A6B7B"/>
          <w:sz w:val="21"/>
          <w:szCs w:val="21"/>
        </w:rPr>
        <w:t xml:space="preserve">Outputs</w:t>
      </w:r>
    </w:p>
    <w:p>
      <w:pPr>
        <w:pStyle w:val="ListParagraph"/>
        <w:numPr>
          <w:ilvl w:val="0"/>
          <w:numId w:val="2"/>
        </w:numPr>
        <w:spacing w:after="60" w:line="264"/>
      </w:pPr>
      <w:r>
        <w:rPr>
          <w:rFonts w:ascii="Calibri" w:cs="Calibri" w:eastAsia="Calibri" w:hAnsi="Calibri"/>
          <w:color w:val="1F2937"/>
          <w:sz w:val="21"/>
          <w:szCs w:val="21"/>
        </w:rPr>
        <w:t xml:space="preserve">A source registration record in the metadata store: schema, keys, volumes, PII flags and the recommended load strategy with rationale</w:t>
      </w:r>
      <w:r>
        <w:rPr>
          <w:rFonts w:ascii="Calibri" w:cs="Calibri" w:eastAsia="Calibri" w:hAnsi="Calibri"/>
          <w:color w:val="5A6B7B"/>
          <w:sz w:val="20"/>
          <w:szCs w:val="20"/>
        </w:rPr>
        <w:t xml:space="preserve">  (FR-01.3)</w:t>
      </w:r>
    </w:p>
    <w:p>
      <w:pPr>
        <w:pStyle w:val="Heading2"/>
        <w:keepNext/>
        <w:spacing w:after="120" w:before="280"/>
      </w:pPr>
      <w:r>
        <w:rPr>
          <w:rFonts w:ascii="Calibri" w:cs="Calibri" w:eastAsia="Calibri" w:hAnsi="Calibri"/>
          <w:b/>
          <w:bCs/>
          <w:color w:val="0F3B5C"/>
          <w:sz w:val="25"/>
          <w:szCs w:val="25"/>
        </w:rPr>
        <w:t xml:space="preserve">A2 - Factory Agent (Generator)  (built in Phases 2 - 3)</w:t>
      </w:r>
    </w:p>
    <w:p>
      <w:pPr>
        <w:spacing w:after="120" w:line="276"/>
      </w:pPr>
      <w:r>
        <w:rPr>
          <w:rFonts w:ascii="Calibri" w:cs="Calibri" w:eastAsia="Calibri" w:hAnsi="Calibri"/>
          <w:b/>
          <w:bCs/>
          <w:color w:val="5A6B7B"/>
          <w:sz w:val="21"/>
          <w:szCs w:val="21"/>
        </w:rPr>
        <w:t xml:space="preserve">Role:  </w:t>
      </w:r>
      <w:r>
        <w:rPr>
          <w:rFonts w:ascii="Calibri" w:cs="Calibri" w:eastAsia="Calibri" w:hAnsi="Calibri"/>
          <w:color w:val="1F2937"/>
          <w:sz w:val="21"/>
          <w:szCs w:val="21"/>
        </w:rPr>
        <w:t xml:space="preserve">Manufactures the pipeline: extraction code, transformation logic, quality rules and orchestration definitions, produced from metadata rather than written by hand.</w:t>
      </w:r>
    </w:p>
    <w:p>
      <w:pPr>
        <w:keepNext/>
        <w:spacing w:after="60" w:before="120"/>
      </w:pPr>
      <w:r>
        <w:rPr>
          <w:rFonts w:ascii="Calibri" w:cs="Calibri" w:eastAsia="Calibri" w:hAnsi="Calibri"/>
          <w:b/>
          <w:bCs/>
          <w:color w:val="5A6B7B"/>
          <w:sz w:val="21"/>
          <w:szCs w:val="21"/>
        </w:rPr>
        <w:t xml:space="preserve">How it works</w:t>
      </w:r>
    </w:p>
    <w:p>
      <w:pPr>
        <w:pStyle w:val="ListParagraph"/>
        <w:numPr>
          <w:ilvl w:val="0"/>
          <w:numId w:val="2"/>
        </w:numPr>
        <w:spacing w:after="60" w:line="264"/>
      </w:pPr>
      <w:r>
        <w:rPr>
          <w:rFonts w:ascii="Calibri" w:cs="Calibri" w:eastAsia="Calibri" w:hAnsi="Calibri"/>
          <w:color w:val="1F2937"/>
          <w:sz w:val="21"/>
          <w:szCs w:val="21"/>
        </w:rPr>
        <w:t xml:space="preserve">Selects the template family for the requested layers: Bronze landing, CURATE transform, Gold build</w:t>
      </w:r>
      <w:r>
        <w:rPr>
          <w:rFonts w:ascii="Calibri" w:cs="Calibri" w:eastAsia="Calibri" w:hAnsi="Calibri"/>
          <w:color w:val="5A6B7B"/>
          <w:sz w:val="20"/>
          <w:szCs w:val="20"/>
        </w:rPr>
        <w:t xml:space="preserve">  (FR-02.4 to FR-02.6)</w:t>
      </w:r>
    </w:p>
    <w:p>
      <w:pPr>
        <w:pStyle w:val="ListParagraph"/>
        <w:numPr>
          <w:ilvl w:val="0"/>
          <w:numId w:val="2"/>
        </w:numPr>
        <w:spacing w:after="60" w:line="264"/>
      </w:pPr>
      <w:r>
        <w:rPr>
          <w:rFonts w:ascii="Calibri" w:cs="Calibri" w:eastAsia="Calibri" w:hAnsi="Calibri"/>
          <w:color w:val="1F2937"/>
          <w:sz w:val="21"/>
          <w:szCs w:val="21"/>
        </w:rPr>
        <w:t xml:space="preserve">Fills the templates from the registration record and target contract; in Phase 2 purely from configuration, in Phase 3 the LLM completes the mapping-specific sections</w:t>
      </w:r>
      <w:r>
        <w:rPr>
          <w:rFonts w:ascii="Calibri" w:cs="Calibri" w:eastAsia="Calibri" w:hAnsi="Calibri"/>
          <w:color w:val="5A6B7B"/>
          <w:sz w:val="20"/>
          <w:szCs w:val="20"/>
        </w:rPr>
        <w:t xml:space="preserve">  (FR-02.1, FR-02.2)</w:t>
      </w:r>
    </w:p>
    <w:p>
      <w:pPr>
        <w:pStyle w:val="ListParagraph"/>
        <w:numPr>
          <w:ilvl w:val="0"/>
          <w:numId w:val="2"/>
        </w:numPr>
        <w:spacing w:after="60" w:line="264"/>
      </w:pPr>
      <w:r>
        <w:rPr>
          <w:rFonts w:ascii="Calibri" w:cs="Calibri" w:eastAsia="Calibri" w:hAnsi="Calibri"/>
          <w:color w:val="1F2937"/>
          <w:sz w:val="21"/>
          <w:szCs w:val="21"/>
        </w:rPr>
        <w:t xml:space="preserve">The LLM can only fill approved, version-controlled templates; it cannot write free-form code outside them</w:t>
      </w:r>
      <w:r>
        <w:rPr>
          <w:rFonts w:ascii="Calibri" w:cs="Calibri" w:eastAsia="Calibri" w:hAnsi="Calibri"/>
          <w:color w:val="5A6B7B"/>
          <w:sz w:val="20"/>
          <w:szCs w:val="20"/>
        </w:rPr>
        <w:t xml:space="preserve">  (FR-02.2, NFR-08)</w:t>
      </w:r>
    </w:p>
    <w:p>
      <w:pPr>
        <w:pStyle w:val="ListParagraph"/>
        <w:numPr>
          <w:ilvl w:val="0"/>
          <w:numId w:val="2"/>
        </w:numPr>
        <w:spacing w:after="60" w:line="264"/>
      </w:pPr>
      <w:r>
        <w:rPr>
          <w:rFonts w:ascii="Calibri" w:cs="Calibri" w:eastAsia="Calibri" w:hAnsi="Calibri"/>
          <w:color w:val="1F2937"/>
          <w:sz w:val="21"/>
          <w:szCs w:val="21"/>
        </w:rPr>
        <w:t xml:space="preserve">Applies the naming convention to every generated object automatically</w:t>
      </w:r>
      <w:r>
        <w:rPr>
          <w:rFonts w:ascii="Calibri" w:cs="Calibri" w:eastAsia="Calibri" w:hAnsi="Calibri"/>
          <w:color w:val="5A6B7B"/>
          <w:sz w:val="20"/>
          <w:szCs w:val="20"/>
        </w:rPr>
        <w:t xml:space="preserve">  (FR-02.3)</w:t>
      </w:r>
    </w:p>
    <w:p>
      <w:pPr>
        <w:pStyle w:val="ListParagraph"/>
        <w:numPr>
          <w:ilvl w:val="0"/>
          <w:numId w:val="2"/>
        </w:numPr>
        <w:spacing w:after="60" w:line="264"/>
      </w:pPr>
      <w:r>
        <w:rPr>
          <w:rFonts w:ascii="Calibri" w:cs="Calibri" w:eastAsia="Calibri" w:hAnsi="Calibri"/>
          <w:color w:val="1F2937"/>
          <w:sz w:val="21"/>
          <w:szCs w:val="21"/>
        </w:rPr>
        <w:t xml:space="preserve">Commits every artefact to Git and opens a pull request with a readable design summary for review</w:t>
      </w:r>
      <w:r>
        <w:rPr>
          <w:rFonts w:ascii="Calibri" w:cs="Calibri" w:eastAsia="Calibri" w:hAnsi="Calibri"/>
          <w:color w:val="5A6B7B"/>
          <w:sz w:val="20"/>
          <w:szCs w:val="20"/>
        </w:rPr>
        <w:t xml:space="preserve">  (FR-02.7)</w:t>
      </w:r>
    </w:p>
    <w:p>
      <w:pPr>
        <w:keepNext/>
        <w:spacing w:after="60" w:before="120"/>
      </w:pPr>
      <w:r>
        <w:rPr>
          <w:rFonts w:ascii="Calibri" w:cs="Calibri" w:eastAsia="Calibri" w:hAnsi="Calibri"/>
          <w:b/>
          <w:bCs/>
          <w:color w:val="5A6B7B"/>
          <w:sz w:val="21"/>
          <w:szCs w:val="21"/>
        </w:rPr>
        <w:t xml:space="preserve">Inputs</w:t>
      </w:r>
    </w:p>
    <w:p>
      <w:pPr>
        <w:pStyle w:val="ListParagraph"/>
        <w:numPr>
          <w:ilvl w:val="0"/>
          <w:numId w:val="2"/>
        </w:numPr>
        <w:spacing w:after="60" w:line="264"/>
      </w:pPr>
      <w:r>
        <w:rPr>
          <w:rFonts w:ascii="Calibri" w:cs="Calibri" w:eastAsia="Calibri" w:hAnsi="Calibri"/>
          <w:color w:val="1F2937"/>
          <w:sz w:val="21"/>
          <w:szCs w:val="21"/>
        </w:rPr>
        <w:t xml:space="preserve">The source registration record plus the target, layering and load-strategy parameters of the request</w:t>
      </w:r>
      <w:r>
        <w:rPr>
          <w:rFonts w:ascii="Calibri" w:cs="Calibri" w:eastAsia="Calibri" w:hAnsi="Calibri"/>
          <w:color w:val="5A6B7B"/>
          <w:sz w:val="20"/>
          <w:szCs w:val="20"/>
        </w:rPr>
        <w:t xml:space="preserve">  (Sec 6.2, Sec 6.3)</w:t>
      </w:r>
    </w:p>
    <w:p>
      <w:pPr>
        <w:keepNext/>
        <w:spacing w:after="60" w:before="120"/>
      </w:pPr>
      <w:r>
        <w:rPr>
          <w:rFonts w:ascii="Calibri" w:cs="Calibri" w:eastAsia="Calibri" w:hAnsi="Calibri"/>
          <w:b/>
          <w:bCs/>
          <w:color w:val="5A6B7B"/>
          <w:sz w:val="21"/>
          <w:szCs w:val="21"/>
        </w:rPr>
        <w:t xml:space="preserve">Outputs</w:t>
      </w:r>
    </w:p>
    <w:p>
      <w:pPr>
        <w:pStyle w:val="ListParagraph"/>
        <w:numPr>
          <w:ilvl w:val="0"/>
          <w:numId w:val="2"/>
        </w:numPr>
        <w:spacing w:after="60" w:line="264"/>
      </w:pPr>
      <w:r>
        <w:rPr>
          <w:rFonts w:ascii="Calibri" w:cs="Calibri" w:eastAsia="Calibri" w:hAnsi="Calibri"/>
          <w:color w:val="1F2937"/>
          <w:sz w:val="21"/>
          <w:szCs w:val="21"/>
        </w:rPr>
        <w:t xml:space="preserve">Pipeline code package, data quality rule set, orchestration definition and a Git pull request</w:t>
      </w:r>
      <w:r>
        <w:rPr>
          <w:rFonts w:ascii="Calibri" w:cs="Calibri" w:eastAsia="Calibri" w:hAnsi="Calibri"/>
          <w:color w:val="5A6B7B"/>
          <w:sz w:val="20"/>
          <w:szCs w:val="20"/>
        </w:rPr>
        <w:t xml:space="preserve">  (Sec 7.1)</w:t>
      </w:r>
    </w:p>
    <w:p>
      <w:pPr>
        <w:pStyle w:val="Heading2"/>
        <w:keepNext/>
        <w:spacing w:after="120" w:before="280"/>
      </w:pPr>
      <w:r>
        <w:rPr>
          <w:rFonts w:ascii="Calibri" w:cs="Calibri" w:eastAsia="Calibri" w:hAnsi="Calibri"/>
          <w:b/>
          <w:bCs/>
          <w:color w:val="0F3B5C"/>
          <w:sz w:val="25"/>
          <w:szCs w:val="25"/>
        </w:rPr>
        <w:t xml:space="preserve">A3 - SelfHeal Agent (Sentinel)  (built in Phases 4 - 5)</w:t>
      </w:r>
    </w:p>
    <w:p>
      <w:pPr>
        <w:spacing w:after="120" w:line="276"/>
      </w:pPr>
      <w:r>
        <w:rPr>
          <w:rFonts w:ascii="Calibri" w:cs="Calibri" w:eastAsia="Calibri" w:hAnsi="Calibri"/>
          <w:b/>
          <w:bCs/>
          <w:color w:val="5A6B7B"/>
          <w:sz w:val="21"/>
          <w:szCs w:val="21"/>
        </w:rPr>
        <w:t xml:space="preserve">Role:  </w:t>
      </w:r>
      <w:r>
        <w:rPr>
          <w:rFonts w:ascii="Calibri" w:cs="Calibri" w:eastAsia="Calibri" w:hAnsi="Calibri"/>
          <w:color w:val="1F2937"/>
          <w:sz w:val="21"/>
          <w:szCs w:val="21"/>
        </w:rPr>
        <w:t xml:space="preserve">Watches every pipeline run and reacts when something breaks: safe problems are fixed automatically, hard problems are escalated with a complete diagnosis instead of a stack trace.</w:t>
      </w:r>
    </w:p>
    <w:p>
      <w:pPr>
        <w:keepNext/>
        <w:spacing w:after="60" w:before="120"/>
      </w:pPr>
      <w:r>
        <w:rPr>
          <w:rFonts w:ascii="Calibri" w:cs="Calibri" w:eastAsia="Calibri" w:hAnsi="Calibri"/>
          <w:b/>
          <w:bCs/>
          <w:color w:val="5A6B7B"/>
          <w:sz w:val="21"/>
          <w:szCs w:val="21"/>
        </w:rPr>
        <w:t xml:space="preserve">How it works</w:t>
      </w:r>
    </w:p>
    <w:p>
      <w:pPr>
        <w:pStyle w:val="ListParagraph"/>
        <w:numPr>
          <w:ilvl w:val="0"/>
          <w:numId w:val="2"/>
        </w:numPr>
        <w:spacing w:after="60" w:line="264"/>
      </w:pPr>
      <w:r>
        <w:rPr>
          <w:rFonts w:ascii="Calibri" w:cs="Calibri" w:eastAsia="Calibri" w:hAnsi="Calibri"/>
          <w:color w:val="1F2937"/>
          <w:sz w:val="21"/>
          <w:szCs w:val="21"/>
        </w:rPr>
        <w:t xml:space="preserve">Consumes failure events from the orchestrator within seconds of a run failing</w:t>
      </w:r>
      <w:r>
        <w:rPr>
          <w:rFonts w:ascii="Calibri" w:cs="Calibri" w:eastAsia="Calibri" w:hAnsi="Calibri"/>
          <w:color w:val="5A6B7B"/>
          <w:sz w:val="20"/>
          <w:szCs w:val="20"/>
        </w:rPr>
        <w:t xml:space="preserve">  (Design deck)</w:t>
      </w:r>
    </w:p>
    <w:p>
      <w:pPr>
        <w:pStyle w:val="ListParagraph"/>
        <w:numPr>
          <w:ilvl w:val="0"/>
          <w:numId w:val="2"/>
        </w:numPr>
        <w:spacing w:after="60" w:line="264"/>
      </w:pPr>
      <w:r>
        <w:rPr>
          <w:rFonts w:ascii="Calibri" w:cs="Calibri" w:eastAsia="Calibri" w:hAnsi="Calibri"/>
          <w:color w:val="1F2937"/>
          <w:sz w:val="21"/>
          <w:szCs w:val="21"/>
        </w:rPr>
        <w:t xml:space="preserve">Collects context before deciding anything: error logs, run history, dependency states, infrastructure metrics, schema registry</w:t>
      </w:r>
      <w:r>
        <w:rPr>
          <w:rFonts w:ascii="Calibri" w:cs="Calibri" w:eastAsia="Calibri" w:hAnsi="Calibri"/>
          <w:color w:val="5A6B7B"/>
          <w:sz w:val="20"/>
          <w:szCs w:val="20"/>
        </w:rPr>
        <w:t xml:space="preserve">  (Design deck)</w:t>
      </w:r>
    </w:p>
    <w:p>
      <w:pPr>
        <w:pStyle w:val="ListParagraph"/>
        <w:numPr>
          <w:ilvl w:val="0"/>
          <w:numId w:val="2"/>
        </w:numPr>
        <w:spacing w:after="60" w:line="264"/>
      </w:pPr>
      <w:r>
        <w:rPr>
          <w:rFonts w:ascii="Calibri" w:cs="Calibri" w:eastAsia="Calibri" w:hAnsi="Calibri"/>
          <w:color w:val="1F2937"/>
          <w:sz w:val="21"/>
          <w:szCs w:val="21"/>
        </w:rPr>
        <w:t xml:space="preserve">Classifies the failure into one of six root-cause categories; rules-based at first, improving as incident history accumulates</w:t>
      </w:r>
      <w:r>
        <w:rPr>
          <w:rFonts w:ascii="Calibri" w:cs="Calibri" w:eastAsia="Calibri" w:hAnsi="Calibri"/>
          <w:color w:val="5A6B7B"/>
          <w:sz w:val="20"/>
          <w:szCs w:val="20"/>
        </w:rPr>
        <w:t xml:space="preserve">  (FR-06.2)</w:t>
      </w:r>
    </w:p>
    <w:p>
      <w:pPr>
        <w:pStyle w:val="ListParagraph"/>
        <w:numPr>
          <w:ilvl w:val="0"/>
          <w:numId w:val="2"/>
        </w:numPr>
        <w:spacing w:after="60" w:line="264"/>
      </w:pPr>
      <w:r>
        <w:rPr>
          <w:rFonts w:ascii="Calibri" w:cs="Calibri" w:eastAsia="Calibri" w:hAnsi="Calibri"/>
          <w:color w:val="1F2937"/>
          <w:sz w:val="21"/>
          <w:szCs w:val="21"/>
        </w:rPr>
        <w:t xml:space="preserve">A guardrail policy selects the branch: schema drift, volume spikes and upstream delays are remediated automatically through platform APIs; logic errors and infrastructure faults are escalated to on-call with a full report</w:t>
      </w:r>
      <w:r>
        <w:rPr>
          <w:rFonts w:ascii="Calibri" w:cs="Calibri" w:eastAsia="Calibri" w:hAnsi="Calibri"/>
          <w:color w:val="5A6B7B"/>
          <w:sz w:val="20"/>
          <w:szCs w:val="20"/>
        </w:rPr>
        <w:t xml:space="preserve">  (FR-06.3, FR-06.4)</w:t>
      </w:r>
    </w:p>
    <w:p>
      <w:pPr>
        <w:pStyle w:val="ListParagraph"/>
        <w:numPr>
          <w:ilvl w:val="0"/>
          <w:numId w:val="2"/>
        </w:numPr>
        <w:spacing w:after="60" w:line="264"/>
      </w:pPr>
      <w:r>
        <w:rPr>
          <w:rFonts w:ascii="Calibri" w:cs="Calibri" w:eastAsia="Calibri" w:hAnsi="Calibri"/>
          <w:color w:val="1F2937"/>
          <w:sz w:val="21"/>
          <w:szCs w:val="21"/>
        </w:rPr>
        <w:t xml:space="preserve">Every incident, action and outcome is logged to the incident register for trend analysis, so repeat failures get eliminated</w:t>
      </w:r>
      <w:r>
        <w:rPr>
          <w:rFonts w:ascii="Calibri" w:cs="Calibri" w:eastAsia="Calibri" w:hAnsi="Calibri"/>
          <w:color w:val="5A6B7B"/>
          <w:sz w:val="20"/>
          <w:szCs w:val="20"/>
        </w:rPr>
        <w:t xml:space="preserve">  (Design deck)</w:t>
      </w:r>
    </w:p>
    <w:p>
      <w:pPr>
        <w:keepNext/>
        <w:spacing w:after="60" w:before="120"/>
      </w:pPr>
      <w:r>
        <w:rPr>
          <w:rFonts w:ascii="Calibri" w:cs="Calibri" w:eastAsia="Calibri" w:hAnsi="Calibri"/>
          <w:b/>
          <w:bCs/>
          <w:color w:val="5A6B7B"/>
          <w:sz w:val="21"/>
          <w:szCs w:val="21"/>
        </w:rPr>
        <w:t xml:space="preserve">Inputs</w:t>
      </w:r>
    </w:p>
    <w:p>
      <w:pPr>
        <w:pStyle w:val="ListParagraph"/>
        <w:numPr>
          <w:ilvl w:val="0"/>
          <w:numId w:val="2"/>
        </w:numPr>
        <w:spacing w:after="60" w:line="264"/>
      </w:pPr>
      <w:r>
        <w:rPr>
          <w:rFonts w:ascii="Calibri" w:cs="Calibri" w:eastAsia="Calibri" w:hAnsi="Calibri"/>
          <w:color w:val="1F2937"/>
          <w:sz w:val="21"/>
          <w:szCs w:val="21"/>
        </w:rPr>
        <w:t xml:space="preserve">Failure and drift events from running pipelines, plus run context from the metadata store</w:t>
      </w:r>
      <w:r>
        <w:rPr>
          <w:rFonts w:ascii="Calibri" w:cs="Calibri" w:eastAsia="Calibri" w:hAnsi="Calibri"/>
          <w:color w:val="5A6B7B"/>
          <w:sz w:val="20"/>
          <w:szCs w:val="20"/>
        </w:rPr>
        <w:t xml:space="preserve">  (Sec 5.1)</w:t>
      </w:r>
    </w:p>
    <w:p>
      <w:pPr>
        <w:keepNext/>
        <w:spacing w:after="60" w:before="120"/>
      </w:pPr>
      <w:r>
        <w:rPr>
          <w:rFonts w:ascii="Calibri" w:cs="Calibri" w:eastAsia="Calibri" w:hAnsi="Calibri"/>
          <w:b/>
          <w:bCs/>
          <w:color w:val="5A6B7B"/>
          <w:sz w:val="21"/>
          <w:szCs w:val="21"/>
        </w:rPr>
        <w:t xml:space="preserve">Outputs</w:t>
      </w:r>
    </w:p>
    <w:p>
      <w:pPr>
        <w:pStyle w:val="ListParagraph"/>
        <w:numPr>
          <w:ilvl w:val="0"/>
          <w:numId w:val="2"/>
        </w:numPr>
        <w:spacing w:after="60" w:line="264"/>
      </w:pPr>
      <w:r>
        <w:rPr>
          <w:rFonts w:ascii="Calibri" w:cs="Calibri" w:eastAsia="Calibri" w:hAnsi="Calibri"/>
          <w:color w:val="1F2937"/>
          <w:sz w:val="21"/>
          <w:szCs w:val="21"/>
        </w:rPr>
        <w:t xml:space="preserve">A remediation action or an escalation report containing root cause, impacted objects and recommended fix, plus an incident record</w:t>
      </w:r>
      <w:r>
        <w:rPr>
          <w:rFonts w:ascii="Calibri" w:cs="Calibri" w:eastAsia="Calibri" w:hAnsi="Calibri"/>
          <w:color w:val="5A6B7B"/>
          <w:sz w:val="20"/>
          <w:szCs w:val="20"/>
        </w:rPr>
        <w:t xml:space="preserve">  (FR-06.4)</w:t>
      </w:r>
    </w:p>
    <w:p>
      <w:pPr>
        <w:pStyle w:val="Heading2"/>
        <w:keepNext/>
        <w:spacing w:after="120" w:before="280"/>
      </w:pPr>
      <w:r>
        <w:rPr>
          <w:rFonts w:ascii="Calibri" w:cs="Calibri" w:eastAsia="Calibri" w:hAnsi="Calibri"/>
          <w:b/>
          <w:bCs/>
          <w:color w:val="0F3B5C"/>
          <w:sz w:val="25"/>
          <w:szCs w:val="25"/>
        </w:rPr>
        <w:t xml:space="preserve">A4 - Request Agent  (built in Phase 6)</w:t>
      </w:r>
    </w:p>
    <w:p>
      <w:pPr>
        <w:spacing w:after="120" w:line="276"/>
      </w:pPr>
      <w:r>
        <w:rPr>
          <w:rFonts w:ascii="Calibri" w:cs="Calibri" w:eastAsia="Calibri" w:hAnsi="Calibri"/>
          <w:b/>
          <w:bCs/>
          <w:color w:val="5A6B7B"/>
          <w:sz w:val="21"/>
          <w:szCs w:val="21"/>
        </w:rPr>
        <w:t xml:space="preserve">Role:  </w:t>
      </w:r>
      <w:r>
        <w:rPr>
          <w:rFonts w:ascii="Calibri" w:cs="Calibri" w:eastAsia="Calibri" w:hAnsi="Calibri"/>
          <w:color w:val="1F2937"/>
          <w:sz w:val="21"/>
          <w:szCs w:val="21"/>
        </w:rPr>
        <w:t xml:space="preserve">The natural-language entry point: lets a user ask for a pipeline in plain English and get exactly the same result as a developer calling the API.</w:t>
      </w:r>
    </w:p>
    <w:p>
      <w:pPr>
        <w:keepNext/>
        <w:spacing w:after="60" w:before="120"/>
      </w:pPr>
      <w:r>
        <w:rPr>
          <w:rFonts w:ascii="Calibri" w:cs="Calibri" w:eastAsia="Calibri" w:hAnsi="Calibri"/>
          <w:b/>
          <w:bCs/>
          <w:color w:val="5A6B7B"/>
          <w:sz w:val="21"/>
          <w:szCs w:val="21"/>
        </w:rPr>
        <w:t xml:space="preserve">How it works</w:t>
      </w:r>
    </w:p>
    <w:p>
      <w:pPr>
        <w:pStyle w:val="ListParagraph"/>
        <w:numPr>
          <w:ilvl w:val="0"/>
          <w:numId w:val="2"/>
        </w:numPr>
        <w:spacing w:after="60" w:line="264"/>
      </w:pPr>
      <w:r>
        <w:rPr>
          <w:rFonts w:ascii="Calibri" w:cs="Calibri" w:eastAsia="Calibri" w:hAnsi="Calibri"/>
          <w:color w:val="1F2937"/>
          <w:sz w:val="21"/>
          <w:szCs w:val="21"/>
        </w:rPr>
        <w:t xml:space="preserve">Receives a plain-language request through Teams or the portal</w:t>
      </w:r>
      <w:r>
        <w:rPr>
          <w:rFonts w:ascii="Calibri" w:cs="Calibri" w:eastAsia="Calibri" w:hAnsi="Calibri"/>
          <w:color w:val="5A6B7B"/>
          <w:sz w:val="20"/>
          <w:szCs w:val="20"/>
        </w:rPr>
        <w:t xml:space="preserve">  (FR-08.2)</w:t>
      </w:r>
    </w:p>
    <w:p>
      <w:pPr>
        <w:pStyle w:val="ListParagraph"/>
        <w:numPr>
          <w:ilvl w:val="0"/>
          <w:numId w:val="2"/>
        </w:numPr>
        <w:spacing w:after="60" w:line="264"/>
      </w:pPr>
      <w:r>
        <w:rPr>
          <w:rFonts w:ascii="Calibri" w:cs="Calibri" w:eastAsia="Calibri" w:hAnsi="Calibri"/>
          <w:color w:val="1F2937"/>
          <w:sz w:val="21"/>
          <w:szCs w:val="21"/>
        </w:rPr>
        <w:t xml:space="preserve">Normalises the request into the same structured JSON contract the API accepts; nothing downstream treats a chat request differently from an API call</w:t>
      </w:r>
      <w:r>
        <w:rPr>
          <w:rFonts w:ascii="Calibri" w:cs="Calibri" w:eastAsia="Calibri" w:hAnsi="Calibri"/>
          <w:color w:val="5A6B7B"/>
          <w:sz w:val="20"/>
          <w:szCs w:val="20"/>
        </w:rPr>
        <w:t xml:space="preserve">  (Sec 6)</w:t>
      </w:r>
    </w:p>
    <w:p>
      <w:pPr>
        <w:pStyle w:val="ListParagraph"/>
        <w:numPr>
          <w:ilvl w:val="0"/>
          <w:numId w:val="2"/>
        </w:numPr>
        <w:spacing w:after="60" w:line="264"/>
      </w:pPr>
      <w:r>
        <w:rPr>
          <w:rFonts w:ascii="Calibri" w:cs="Calibri" w:eastAsia="Calibri" w:hAnsi="Calibri"/>
          <w:color w:val="1F2937"/>
          <w:sz w:val="21"/>
          <w:szCs w:val="21"/>
        </w:rPr>
        <w:t xml:space="preserve">Asks the requester for any missing required parameters before submitting the request</w:t>
      </w:r>
    </w:p>
    <w:p>
      <w:pPr>
        <w:pStyle w:val="ListParagraph"/>
        <w:numPr>
          <w:ilvl w:val="0"/>
          <w:numId w:val="2"/>
        </w:numPr>
        <w:spacing w:after="60" w:line="264"/>
      </w:pPr>
      <w:r>
        <w:rPr>
          <w:rFonts w:ascii="Calibri" w:cs="Calibri" w:eastAsia="Calibri" w:hAnsi="Calibri"/>
          <w:color w:val="1F2937"/>
          <w:sz w:val="21"/>
          <w:szCs w:val="21"/>
        </w:rPr>
        <w:t xml:space="preserve">Answers lineage and impact questions, such as what breaks if a column changes, from the metadata store and catalogue</w:t>
      </w:r>
      <w:r>
        <w:rPr>
          <w:rFonts w:ascii="Calibri" w:cs="Calibri" w:eastAsia="Calibri" w:hAnsi="Calibri"/>
          <w:color w:val="5A6B7B"/>
          <w:sz w:val="20"/>
          <w:szCs w:val="20"/>
        </w:rPr>
        <w:t xml:space="preserve">  (FR-07.3)</w:t>
      </w:r>
    </w:p>
    <w:p>
      <w:pPr>
        <w:keepNext/>
        <w:spacing w:after="60" w:before="120"/>
      </w:pPr>
      <w:r>
        <w:rPr>
          <w:rFonts w:ascii="Calibri" w:cs="Calibri" w:eastAsia="Calibri" w:hAnsi="Calibri"/>
          <w:b/>
          <w:bCs/>
          <w:color w:val="5A6B7B"/>
          <w:sz w:val="21"/>
          <w:szCs w:val="21"/>
        </w:rPr>
        <w:t xml:space="preserve">Inputs</w:t>
      </w:r>
    </w:p>
    <w:p>
      <w:pPr>
        <w:pStyle w:val="ListParagraph"/>
        <w:numPr>
          <w:ilvl w:val="0"/>
          <w:numId w:val="2"/>
        </w:numPr>
        <w:spacing w:after="60" w:line="264"/>
      </w:pPr>
      <w:r>
        <w:rPr>
          <w:rFonts w:ascii="Calibri" w:cs="Calibri" w:eastAsia="Calibri" w:hAnsi="Calibri"/>
          <w:color w:val="1F2937"/>
          <w:sz w:val="21"/>
          <w:szCs w:val="21"/>
        </w:rPr>
        <w:t xml:space="preserve">A natural-language instruction and the requester's identity</w:t>
      </w:r>
      <w:r>
        <w:rPr>
          <w:rFonts w:ascii="Calibri" w:cs="Calibri" w:eastAsia="Calibri" w:hAnsi="Calibri"/>
          <w:color w:val="5A6B7B"/>
          <w:sz w:val="20"/>
          <w:szCs w:val="20"/>
        </w:rPr>
        <w:t xml:space="preserve">  (Sec 6.6)</w:t>
      </w:r>
    </w:p>
    <w:p>
      <w:pPr>
        <w:keepNext/>
        <w:spacing w:after="60" w:before="120"/>
      </w:pPr>
      <w:r>
        <w:rPr>
          <w:rFonts w:ascii="Calibri" w:cs="Calibri" w:eastAsia="Calibri" w:hAnsi="Calibri"/>
          <w:b/>
          <w:bCs/>
          <w:color w:val="5A6B7B"/>
          <w:sz w:val="21"/>
          <w:szCs w:val="21"/>
        </w:rPr>
        <w:t xml:space="preserve">Outputs</w:t>
      </w:r>
    </w:p>
    <w:p>
      <w:pPr>
        <w:pStyle w:val="ListParagraph"/>
        <w:numPr>
          <w:ilvl w:val="0"/>
          <w:numId w:val="2"/>
        </w:numPr>
        <w:spacing w:after="60" w:line="264"/>
      </w:pPr>
      <w:r>
        <w:rPr>
          <w:rFonts w:ascii="Calibri" w:cs="Calibri" w:eastAsia="Calibri" w:hAnsi="Calibri"/>
          <w:color w:val="1F2937"/>
          <w:sz w:val="21"/>
          <w:szCs w:val="21"/>
        </w:rPr>
        <w:t xml:space="preserve">A validated request object identical to the API contract, or an answer with supporting references</w:t>
      </w:r>
      <w:r>
        <w:rPr>
          <w:rFonts w:ascii="Calibri" w:cs="Calibri" w:eastAsia="Calibri" w:hAnsi="Calibri"/>
          <w:color w:val="5A6B7B"/>
          <w:sz w:val="20"/>
          <w:szCs w:val="20"/>
        </w:rPr>
        <w:t xml:space="preserve">  (Sec 6.7)</w:t>
      </w:r>
    </w:p>
    <w:p>
      <w:pPr>
        <w:pStyle w:val="Heading2"/>
        <w:keepNext/>
        <w:spacing w:after="120" w:before="280"/>
      </w:pPr>
      <w:r>
        <w:rPr>
          <w:rFonts w:ascii="Calibri" w:cs="Calibri" w:eastAsia="Calibri" w:hAnsi="Calibri"/>
          <w:b/>
          <w:bCs/>
          <w:color w:val="0F3B5C"/>
          <w:sz w:val="25"/>
          <w:szCs w:val="25"/>
        </w:rPr>
        <w:t xml:space="preserve">S1 - Validator  (built in Phase 2)</w:t>
      </w:r>
    </w:p>
    <w:p>
      <w:pPr>
        <w:spacing w:after="120" w:line="276"/>
      </w:pPr>
      <w:r>
        <w:rPr>
          <w:rFonts w:ascii="Calibri" w:cs="Calibri" w:eastAsia="Calibri" w:hAnsi="Calibri"/>
          <w:b/>
          <w:bCs/>
          <w:color w:val="5A6B7B"/>
          <w:sz w:val="21"/>
          <w:szCs w:val="21"/>
        </w:rPr>
        <w:t xml:space="preserve">Role:  </w:t>
      </w:r>
      <w:r>
        <w:rPr>
          <w:rFonts w:ascii="Calibri" w:cs="Calibri" w:eastAsia="Calibri" w:hAnsi="Calibri"/>
          <w:color w:val="1F2937"/>
          <w:sz w:val="21"/>
          <w:szCs w:val="21"/>
        </w:rPr>
        <w:t xml:space="preserve">The quality gate. Deliberately contains no AI, so generated work is never judged by the system that produced it.</w:t>
      </w:r>
    </w:p>
    <w:p>
      <w:pPr>
        <w:keepNext/>
        <w:spacing w:after="60" w:before="120"/>
      </w:pPr>
      <w:r>
        <w:rPr>
          <w:rFonts w:ascii="Calibri" w:cs="Calibri" w:eastAsia="Calibri" w:hAnsi="Calibri"/>
          <w:b/>
          <w:bCs/>
          <w:color w:val="5A6B7B"/>
          <w:sz w:val="21"/>
          <w:szCs w:val="21"/>
        </w:rPr>
        <w:t xml:space="preserve">How it works</w:t>
      </w:r>
    </w:p>
    <w:p>
      <w:pPr>
        <w:pStyle w:val="ListParagraph"/>
        <w:numPr>
          <w:ilvl w:val="0"/>
          <w:numId w:val="2"/>
        </w:numPr>
        <w:spacing w:after="60" w:line="264"/>
      </w:pPr>
      <w:r>
        <w:rPr>
          <w:rFonts w:ascii="Calibri" w:cs="Calibri" w:eastAsia="Calibri" w:hAnsi="Calibri"/>
          <w:color w:val="1F2937"/>
          <w:sz w:val="21"/>
          <w:szCs w:val="21"/>
        </w:rPr>
        <w:t xml:space="preserve">Runs each generated pipeline against sample data in an isolated sandbox</w:t>
      </w:r>
      <w:r>
        <w:rPr>
          <w:rFonts w:ascii="Calibri" w:cs="Calibri" w:eastAsia="Calibri" w:hAnsi="Calibri"/>
          <w:color w:val="5A6B7B"/>
          <w:sz w:val="20"/>
          <w:szCs w:val="20"/>
        </w:rPr>
        <w:t xml:space="preserve">  (FR-02.1)</w:t>
      </w:r>
    </w:p>
    <w:p>
      <w:pPr>
        <w:pStyle w:val="ListParagraph"/>
        <w:numPr>
          <w:ilvl w:val="0"/>
          <w:numId w:val="2"/>
        </w:numPr>
        <w:spacing w:after="60" w:line="264"/>
      </w:pPr>
      <w:r>
        <w:rPr>
          <w:rFonts w:ascii="Calibri" w:cs="Calibri" w:eastAsia="Calibri" w:hAnsi="Calibri"/>
          <w:color w:val="1F2937"/>
          <w:sz w:val="21"/>
          <w:szCs w:val="21"/>
        </w:rPr>
        <w:t xml:space="preserve">Checks row counts, type fidelity, quality-rule pass rates and idempotency</w:t>
      </w:r>
      <w:r>
        <w:rPr>
          <w:rFonts w:ascii="Calibri" w:cs="Calibri" w:eastAsia="Calibri" w:hAnsi="Calibri"/>
          <w:color w:val="5A6B7B"/>
          <w:sz w:val="20"/>
          <w:szCs w:val="20"/>
        </w:rPr>
        <w:t xml:space="preserve">  (AC-03)</w:t>
      </w:r>
    </w:p>
    <w:p>
      <w:pPr>
        <w:pStyle w:val="ListParagraph"/>
        <w:numPr>
          <w:ilvl w:val="0"/>
          <w:numId w:val="2"/>
        </w:numPr>
        <w:spacing w:after="60" w:line="264"/>
      </w:pPr>
      <w:r>
        <w:rPr>
          <w:rFonts w:ascii="Calibri" w:cs="Calibri" w:eastAsia="Calibri" w:hAnsi="Calibri"/>
          <w:color w:val="1F2937"/>
          <w:sz w:val="21"/>
          <w:szCs w:val="21"/>
        </w:rPr>
        <w:t xml:space="preserve">Blocks promotion when a check fails and attaches the evidence of what failed and why</w:t>
      </w:r>
    </w:p>
    <w:p>
      <w:pPr>
        <w:keepNext/>
        <w:spacing w:after="60" w:before="120"/>
      </w:pPr>
      <w:r>
        <w:rPr>
          <w:rFonts w:ascii="Calibri" w:cs="Calibri" w:eastAsia="Calibri" w:hAnsi="Calibri"/>
          <w:b/>
          <w:bCs/>
          <w:color w:val="5A6B7B"/>
          <w:sz w:val="21"/>
          <w:szCs w:val="21"/>
        </w:rPr>
        <w:t xml:space="preserve">Inputs</w:t>
      </w:r>
    </w:p>
    <w:p>
      <w:pPr>
        <w:pStyle w:val="ListParagraph"/>
        <w:numPr>
          <w:ilvl w:val="0"/>
          <w:numId w:val="2"/>
        </w:numPr>
        <w:spacing w:after="60" w:line="264"/>
      </w:pPr>
      <w:r>
        <w:rPr>
          <w:rFonts w:ascii="Calibri" w:cs="Calibri" w:eastAsia="Calibri" w:hAnsi="Calibri"/>
          <w:color w:val="1F2937"/>
          <w:sz w:val="21"/>
          <w:szCs w:val="21"/>
        </w:rPr>
        <w:t xml:space="preserve">The generated pipeline package and sampled source data</w:t>
      </w:r>
    </w:p>
    <w:p>
      <w:pPr>
        <w:keepNext/>
        <w:spacing w:after="60" w:before="120"/>
      </w:pPr>
      <w:r>
        <w:rPr>
          <w:rFonts w:ascii="Calibri" w:cs="Calibri" w:eastAsia="Calibri" w:hAnsi="Calibri"/>
          <w:b/>
          <w:bCs/>
          <w:color w:val="5A6B7B"/>
          <w:sz w:val="21"/>
          <w:szCs w:val="21"/>
        </w:rPr>
        <w:t xml:space="preserve">Outputs</w:t>
      </w:r>
    </w:p>
    <w:p>
      <w:pPr>
        <w:pStyle w:val="ListParagraph"/>
        <w:numPr>
          <w:ilvl w:val="0"/>
          <w:numId w:val="2"/>
        </w:numPr>
        <w:spacing w:after="60" w:line="264"/>
      </w:pPr>
      <w:r>
        <w:rPr>
          <w:rFonts w:ascii="Calibri" w:cs="Calibri" w:eastAsia="Calibri" w:hAnsi="Calibri"/>
          <w:color w:val="1F2937"/>
          <w:sz w:val="21"/>
          <w:szCs w:val="21"/>
        </w:rPr>
        <w:t xml:space="preserve">A pass or fail verdict with evidence, attached to the pull request</w:t>
      </w:r>
    </w:p>
    <w:p>
      <w:pPr>
        <w:pStyle w:val="Heading2"/>
        <w:keepNext/>
        <w:spacing w:after="120" w:before="280"/>
      </w:pPr>
      <w:r>
        <w:rPr>
          <w:rFonts w:ascii="Calibri" w:cs="Calibri" w:eastAsia="Calibri" w:hAnsi="Calibri"/>
          <w:b/>
          <w:bCs/>
          <w:color w:val="0F3B5C"/>
          <w:sz w:val="25"/>
          <w:szCs w:val="25"/>
        </w:rPr>
        <w:t xml:space="preserve">S2 - Deployer  (built in Phases 2 - 3)</w:t>
      </w:r>
    </w:p>
    <w:p>
      <w:pPr>
        <w:spacing w:after="120" w:line="276"/>
      </w:pPr>
      <w:r>
        <w:rPr>
          <w:rFonts w:ascii="Calibri" w:cs="Calibri" w:eastAsia="Calibri" w:hAnsi="Calibri"/>
          <w:b/>
          <w:bCs/>
          <w:color w:val="5A6B7B"/>
          <w:sz w:val="21"/>
          <w:szCs w:val="21"/>
        </w:rPr>
        <w:t xml:space="preserve">Role:  </w:t>
      </w:r>
      <w:r>
        <w:rPr>
          <w:rFonts w:ascii="Calibri" w:cs="Calibri" w:eastAsia="Calibri" w:hAnsi="Calibri"/>
          <w:color w:val="1F2937"/>
          <w:sz w:val="21"/>
          <w:szCs w:val="21"/>
        </w:rPr>
        <w:t xml:space="preserve">Takes an approved pipeline and puts it into service. Pure automation, fully audited, no AI involvement.</w:t>
      </w:r>
    </w:p>
    <w:p>
      <w:pPr>
        <w:keepNext/>
        <w:spacing w:after="60" w:before="120"/>
      </w:pPr>
      <w:r>
        <w:rPr>
          <w:rFonts w:ascii="Calibri" w:cs="Calibri" w:eastAsia="Calibri" w:hAnsi="Calibri"/>
          <w:b/>
          <w:bCs/>
          <w:color w:val="5A6B7B"/>
          <w:sz w:val="21"/>
          <w:szCs w:val="21"/>
        </w:rPr>
        <w:t xml:space="preserve">How it works</w:t>
      </w:r>
    </w:p>
    <w:p>
      <w:pPr>
        <w:pStyle w:val="ListParagraph"/>
        <w:numPr>
          <w:ilvl w:val="0"/>
          <w:numId w:val="2"/>
        </w:numPr>
        <w:spacing w:after="60" w:line="264"/>
      </w:pPr>
      <w:r>
        <w:rPr>
          <w:rFonts w:ascii="Calibri" w:cs="Calibri" w:eastAsia="Calibri" w:hAnsi="Calibri"/>
          <w:color w:val="1F2937"/>
          <w:sz w:val="21"/>
          <w:szCs w:val="21"/>
        </w:rPr>
        <w:t xml:space="preserve">Provisions target tables with schemas, constraints, partitioning and audit columns</w:t>
      </w:r>
      <w:r>
        <w:rPr>
          <w:rFonts w:ascii="Calibri" w:cs="Calibri" w:eastAsia="Calibri" w:hAnsi="Calibri"/>
          <w:color w:val="5A6B7B"/>
          <w:sz w:val="20"/>
          <w:szCs w:val="20"/>
        </w:rPr>
        <w:t xml:space="preserve">  (Sec 7.1)</w:t>
      </w:r>
    </w:p>
    <w:p>
      <w:pPr>
        <w:pStyle w:val="ListParagraph"/>
        <w:numPr>
          <w:ilvl w:val="0"/>
          <w:numId w:val="2"/>
        </w:numPr>
        <w:spacing w:after="60" w:line="264"/>
      </w:pPr>
      <w:r>
        <w:rPr>
          <w:rFonts w:ascii="Calibri" w:cs="Calibri" w:eastAsia="Calibri" w:hAnsi="Calibri"/>
          <w:color w:val="1F2937"/>
          <w:sz w:val="21"/>
          <w:szCs w:val="21"/>
        </w:rPr>
        <w:t xml:space="preserve">Registers the workflow with the orchestrator: dependencies, schedule or trigger, retry policy, SLA definition</w:t>
      </w:r>
      <w:r>
        <w:rPr>
          <w:rFonts w:ascii="Calibri" w:cs="Calibri" w:eastAsia="Calibri" w:hAnsi="Calibri"/>
          <w:color w:val="5A6B7B"/>
          <w:sz w:val="20"/>
          <w:szCs w:val="20"/>
        </w:rPr>
        <w:t xml:space="preserve">  (FR-06.1)</w:t>
      </w:r>
    </w:p>
    <w:p>
      <w:pPr>
        <w:pStyle w:val="ListParagraph"/>
        <w:numPr>
          <w:ilvl w:val="0"/>
          <w:numId w:val="2"/>
        </w:numPr>
        <w:spacing w:after="60" w:line="264"/>
      </w:pPr>
      <w:r>
        <w:rPr>
          <w:rFonts w:ascii="Calibri" w:cs="Calibri" w:eastAsia="Calibri" w:hAnsi="Calibri"/>
          <w:color w:val="1F2937"/>
          <w:sz w:val="21"/>
          <w:szCs w:val="21"/>
        </w:rPr>
        <w:t xml:space="preserve">Records column-level lineage in the catalogue and the registration entry in the metadata store</w:t>
      </w:r>
      <w:r>
        <w:rPr>
          <w:rFonts w:ascii="Calibri" w:cs="Calibri" w:eastAsia="Calibri" w:hAnsi="Calibri"/>
          <w:color w:val="5A6B7B"/>
          <w:sz w:val="20"/>
          <w:szCs w:val="20"/>
        </w:rPr>
        <w:t xml:space="preserve">  (FR-07.1)</w:t>
      </w:r>
    </w:p>
    <w:p>
      <w:pPr>
        <w:pStyle w:val="ListParagraph"/>
        <w:numPr>
          <w:ilvl w:val="0"/>
          <w:numId w:val="2"/>
        </w:numPr>
        <w:spacing w:after="60" w:line="264"/>
      </w:pPr>
      <w:r>
        <w:rPr>
          <w:rFonts w:ascii="Calibri" w:cs="Calibri" w:eastAsia="Calibri" w:hAnsi="Calibri"/>
          <w:color w:val="1F2937"/>
          <w:sz w:val="21"/>
          <w:szCs w:val="21"/>
        </w:rPr>
        <w:t xml:space="preserve">Promotes across environments only after the required approval has been recorded</w:t>
      </w:r>
      <w:r>
        <w:rPr>
          <w:rFonts w:ascii="Calibri" w:cs="Calibri" w:eastAsia="Calibri" w:hAnsi="Calibri"/>
          <w:color w:val="5A6B7B"/>
          <w:sz w:val="20"/>
          <w:szCs w:val="20"/>
        </w:rPr>
        <w:t xml:space="preserve">  (FR-08.3)</w:t>
      </w:r>
    </w:p>
    <w:p>
      <w:pPr>
        <w:keepNext/>
        <w:spacing w:after="60" w:before="120"/>
      </w:pPr>
      <w:r>
        <w:rPr>
          <w:rFonts w:ascii="Calibri" w:cs="Calibri" w:eastAsia="Calibri" w:hAnsi="Calibri"/>
          <w:b/>
          <w:bCs/>
          <w:color w:val="5A6B7B"/>
          <w:sz w:val="21"/>
          <w:szCs w:val="21"/>
        </w:rPr>
        <w:t xml:space="preserve">Inputs</w:t>
      </w:r>
    </w:p>
    <w:p>
      <w:pPr>
        <w:pStyle w:val="ListParagraph"/>
        <w:numPr>
          <w:ilvl w:val="0"/>
          <w:numId w:val="2"/>
        </w:numPr>
        <w:spacing w:after="60" w:line="264"/>
      </w:pPr>
      <w:r>
        <w:rPr>
          <w:rFonts w:ascii="Calibri" w:cs="Calibri" w:eastAsia="Calibri" w:hAnsi="Calibri"/>
          <w:color w:val="1F2937"/>
          <w:sz w:val="21"/>
          <w:szCs w:val="21"/>
        </w:rPr>
        <w:t xml:space="preserve">An approved pull request and the scheduling and operational parameters of the request</w:t>
      </w:r>
      <w:r>
        <w:rPr>
          <w:rFonts w:ascii="Calibri" w:cs="Calibri" w:eastAsia="Calibri" w:hAnsi="Calibri"/>
          <w:color w:val="5A6B7B"/>
          <w:sz w:val="20"/>
          <w:szCs w:val="20"/>
        </w:rPr>
        <w:t xml:space="preserve">  (Sec 6.4, Sec 6.6)</w:t>
      </w:r>
    </w:p>
    <w:p>
      <w:pPr>
        <w:keepNext/>
        <w:spacing w:after="60" w:before="120"/>
      </w:pPr>
      <w:r>
        <w:rPr>
          <w:rFonts w:ascii="Calibri" w:cs="Calibri" w:eastAsia="Calibri" w:hAnsi="Calibri"/>
          <w:b/>
          <w:bCs/>
          <w:color w:val="5A6B7B"/>
          <w:sz w:val="21"/>
          <w:szCs w:val="21"/>
        </w:rPr>
        <w:t xml:space="preserve">Outputs</w:t>
      </w:r>
    </w:p>
    <w:p>
      <w:pPr>
        <w:pStyle w:val="ListParagraph"/>
        <w:numPr>
          <w:ilvl w:val="0"/>
          <w:numId w:val="2"/>
        </w:numPr>
        <w:spacing w:after="60" w:line="264"/>
      </w:pPr>
      <w:r>
        <w:rPr>
          <w:rFonts w:ascii="Calibri" w:cs="Calibri" w:eastAsia="Calibri" w:hAnsi="Calibri"/>
          <w:color w:val="1F2937"/>
          <w:sz w:val="21"/>
          <w:szCs w:val="21"/>
        </w:rPr>
        <w:t xml:space="preserve">Provisioned target objects, a registered workflow, a lineage record and the pipeline registration entry</w:t>
      </w:r>
      <w:r>
        <w:rPr>
          <w:rFonts w:ascii="Calibri" w:cs="Calibri" w:eastAsia="Calibri" w:hAnsi="Calibri"/>
          <w:color w:val="5A6B7B"/>
          <w:sz w:val="20"/>
          <w:szCs w:val="20"/>
        </w:rPr>
        <w:t xml:space="preserve">  (Sec 7.1)</w:t>
      </w:r>
    </w:p>
    <w:p>
      <w:pPr>
        <w:pStyle w:val="Heading2"/>
        <w:keepNext/>
        <w:spacing w:after="120" w:before="280"/>
      </w:pPr>
      <w:r>
        <w:rPr>
          <w:rFonts w:ascii="Calibri" w:cs="Calibri" w:eastAsia="Calibri" w:hAnsi="Calibri"/>
          <w:b/>
          <w:bCs/>
          <w:color w:val="0F3B5C"/>
          <w:sz w:val="25"/>
          <w:szCs w:val="25"/>
        </w:rPr>
        <w:t xml:space="preserve">How the components work together</w:t>
      </w:r>
    </w:p>
    <w:p>
      <w:pPr>
        <w:spacing w:after="120" w:line="276"/>
      </w:pPr>
      <w:r>
        <w:rPr>
          <w:rFonts w:ascii="Calibri" w:cs="Calibri" w:eastAsia="Calibri" w:hAnsi="Calibri"/>
          <w:color w:val="1F2937"/>
          <w:sz w:val="21"/>
          <w:szCs w:val="21"/>
        </w:rPr>
        <w:t xml:space="preserve">End to end, a single onboarding request flows through the components in this order:</w:t>
      </w:r>
    </w:p>
    <w:p>
      <w:pPr>
        <w:spacing w:after="60" w:line="264"/>
        <w:ind w:left="431" w:hanging="316"/>
      </w:pPr>
      <w:r>
        <w:rPr>
          <w:rFonts w:ascii="Calibri" w:cs="Calibri" w:eastAsia="Calibri" w:hAnsi="Calibri"/>
          <w:b/>
          <w:bCs/>
          <w:color w:val="0F3B5C"/>
          <w:sz w:val="21"/>
          <w:szCs w:val="21"/>
        </w:rPr>
        <w:t xml:space="preserve">1.  </w:t>
      </w:r>
      <w:r>
        <w:rPr>
          <w:rFonts w:ascii="Calibri" w:cs="Calibri" w:eastAsia="Calibri" w:hAnsi="Calibri"/>
          <w:color w:val="1F2937"/>
          <w:sz w:val="21"/>
          <w:szCs w:val="21"/>
        </w:rPr>
        <w:t xml:space="preserve">A request arrives through the REST API or the Request Agent and is recorded with the requester's identity</w:t>
      </w:r>
      <w:r>
        <w:rPr>
          <w:rFonts w:ascii="Calibri" w:cs="Calibri" w:eastAsia="Calibri" w:hAnsi="Calibri"/>
          <w:color w:val="5A6B7B"/>
          <w:sz w:val="20"/>
          <w:szCs w:val="20"/>
        </w:rPr>
        <w:t xml:space="preserve">  (FR-08.1, FR-08.2)</w:t>
      </w:r>
    </w:p>
    <w:p>
      <w:pPr>
        <w:spacing w:after="60" w:line="264"/>
        <w:ind w:left="431" w:hanging="316"/>
      </w:pPr>
      <w:r>
        <w:rPr>
          <w:rFonts w:ascii="Calibri" w:cs="Calibri" w:eastAsia="Calibri" w:hAnsi="Calibri"/>
          <w:b/>
          <w:bCs/>
          <w:color w:val="0F3B5C"/>
          <w:sz w:val="21"/>
          <w:szCs w:val="21"/>
        </w:rPr>
        <w:t xml:space="preserve">2.  </w:t>
      </w:r>
      <w:r>
        <w:rPr>
          <w:rFonts w:ascii="Calibri" w:cs="Calibri" w:eastAsia="Calibri" w:hAnsi="Calibri"/>
          <w:color w:val="1F2937"/>
          <w:sz w:val="21"/>
          <w:szCs w:val="21"/>
        </w:rPr>
        <w:t xml:space="preserve">The Profiler examines the source and writes the registration record with its recommendation</w:t>
      </w:r>
      <w:r>
        <w:rPr>
          <w:rFonts w:ascii="Calibri" w:cs="Calibri" w:eastAsia="Calibri" w:hAnsi="Calibri"/>
          <w:color w:val="5A6B7B"/>
          <w:sz w:val="20"/>
          <w:szCs w:val="20"/>
        </w:rPr>
        <w:t xml:space="preserve">  (FR-01)</w:t>
      </w:r>
    </w:p>
    <w:p>
      <w:pPr>
        <w:spacing w:after="60" w:line="264"/>
        <w:ind w:left="431" w:hanging="316"/>
      </w:pPr>
      <w:r>
        <w:rPr>
          <w:rFonts w:ascii="Calibri" w:cs="Calibri" w:eastAsia="Calibri" w:hAnsi="Calibri"/>
          <w:b/>
          <w:bCs/>
          <w:color w:val="0F3B5C"/>
          <w:sz w:val="21"/>
          <w:szCs w:val="21"/>
        </w:rPr>
        <w:t xml:space="preserve">3.  </w:t>
      </w:r>
      <w:r>
        <w:rPr>
          <w:rFonts w:ascii="Calibri" w:cs="Calibri" w:eastAsia="Calibri" w:hAnsi="Calibri"/>
          <w:color w:val="1F2937"/>
          <w:sz w:val="21"/>
          <w:szCs w:val="21"/>
        </w:rPr>
        <w:t xml:space="preserve">The Factory generates the pipeline artefacts and opens the pull request</w:t>
      </w:r>
      <w:r>
        <w:rPr>
          <w:rFonts w:ascii="Calibri" w:cs="Calibri" w:eastAsia="Calibri" w:hAnsi="Calibri"/>
          <w:color w:val="5A6B7B"/>
          <w:sz w:val="20"/>
          <w:szCs w:val="20"/>
        </w:rPr>
        <w:t xml:space="preserve">  (FR-02)</w:t>
      </w:r>
    </w:p>
    <w:p>
      <w:pPr>
        <w:spacing w:after="60" w:line="264"/>
        <w:ind w:left="431" w:hanging="316"/>
      </w:pPr>
      <w:r>
        <w:rPr>
          <w:rFonts w:ascii="Calibri" w:cs="Calibri" w:eastAsia="Calibri" w:hAnsi="Calibri"/>
          <w:b/>
          <w:bCs/>
          <w:color w:val="0F3B5C"/>
          <w:sz w:val="21"/>
          <w:szCs w:val="21"/>
        </w:rPr>
        <w:t xml:space="preserve">4.  </w:t>
      </w:r>
      <w:r>
        <w:rPr>
          <w:rFonts w:ascii="Calibri" w:cs="Calibri" w:eastAsia="Calibri" w:hAnsi="Calibri"/>
          <w:color w:val="1F2937"/>
          <w:sz w:val="21"/>
          <w:szCs w:val="21"/>
        </w:rPr>
        <w:t xml:space="preserve">The Validator checks everything in the sandbox; failures go back to the Factory, passes proceed</w:t>
      </w:r>
      <w:r>
        <w:rPr>
          <w:rFonts w:ascii="Calibri" w:cs="Calibri" w:eastAsia="Calibri" w:hAnsi="Calibri"/>
          <w:color w:val="5A6B7B"/>
          <w:sz w:val="20"/>
          <w:szCs w:val="20"/>
        </w:rPr>
        <w:t xml:space="preserve">  (AC-03)</w:t>
      </w:r>
    </w:p>
    <w:p>
      <w:pPr>
        <w:spacing w:after="60" w:line="264"/>
        <w:ind w:left="431" w:hanging="316"/>
      </w:pPr>
      <w:r>
        <w:rPr>
          <w:rFonts w:ascii="Calibri" w:cs="Calibri" w:eastAsia="Calibri" w:hAnsi="Calibri"/>
          <w:b/>
          <w:bCs/>
          <w:color w:val="0F3B5C"/>
          <w:sz w:val="21"/>
          <w:szCs w:val="21"/>
        </w:rPr>
        <w:t xml:space="preserve">5.  </w:t>
      </w:r>
      <w:r>
        <w:rPr>
          <w:rFonts w:ascii="Calibri" w:cs="Calibri" w:eastAsia="Calibri" w:hAnsi="Calibri"/>
          <w:color w:val="1F2937"/>
          <w:sz w:val="21"/>
          <w:szCs w:val="21"/>
        </w:rPr>
        <w:t xml:space="preserve">A human approves; the Deployer provisions the objects and registers the workflow and lineage</w:t>
      </w:r>
      <w:r>
        <w:rPr>
          <w:rFonts w:ascii="Calibri" w:cs="Calibri" w:eastAsia="Calibri" w:hAnsi="Calibri"/>
          <w:color w:val="5A6B7B"/>
          <w:sz w:val="20"/>
          <w:szCs w:val="20"/>
        </w:rPr>
        <w:t xml:space="preserve">  (FR-08.3, FR-06.1)</w:t>
      </w:r>
    </w:p>
    <w:p>
      <w:pPr>
        <w:spacing w:after="60" w:line="264"/>
        <w:ind w:left="431" w:hanging="316"/>
      </w:pPr>
      <w:r>
        <w:rPr>
          <w:rFonts w:ascii="Calibri" w:cs="Calibri" w:eastAsia="Calibri" w:hAnsi="Calibri"/>
          <w:b/>
          <w:bCs/>
          <w:color w:val="0F3B5C"/>
          <w:sz w:val="21"/>
          <w:szCs w:val="21"/>
        </w:rPr>
        <w:t xml:space="preserve">6.  </w:t>
      </w:r>
      <w:r>
        <w:rPr>
          <w:rFonts w:ascii="Calibri" w:cs="Calibri" w:eastAsia="Calibri" w:hAnsi="Calibri"/>
          <w:color w:val="1F2937"/>
          <w:sz w:val="21"/>
          <w:szCs w:val="21"/>
        </w:rPr>
        <w:t xml:space="preserve">The deployed pipeline runs on its own triggers; there is no AI involvement at run time</w:t>
      </w:r>
      <w:r>
        <w:rPr>
          <w:rFonts w:ascii="Calibri" w:cs="Calibri" w:eastAsia="Calibri" w:hAnsi="Calibri"/>
          <w:color w:val="5A6B7B"/>
          <w:sz w:val="20"/>
          <w:szCs w:val="20"/>
        </w:rPr>
        <w:t xml:space="preserve">  (Sec 12.2)</w:t>
      </w:r>
    </w:p>
    <w:p>
      <w:pPr>
        <w:spacing w:after="60" w:line="264"/>
        <w:ind w:left="431" w:hanging="316"/>
      </w:pPr>
      <w:r>
        <w:rPr>
          <w:rFonts w:ascii="Calibri" w:cs="Calibri" w:eastAsia="Calibri" w:hAnsi="Calibri"/>
          <w:b/>
          <w:bCs/>
          <w:color w:val="0F3B5C"/>
          <w:sz w:val="21"/>
          <w:szCs w:val="21"/>
        </w:rPr>
        <w:t xml:space="preserve">7.  </w:t>
      </w:r>
      <w:r>
        <w:rPr>
          <w:rFonts w:ascii="Calibri" w:cs="Calibri" w:eastAsia="Calibri" w:hAnsi="Calibri"/>
          <w:color w:val="1F2937"/>
          <w:sz w:val="21"/>
          <w:szCs w:val="21"/>
        </w:rPr>
        <w:t xml:space="preserve">SelfHeal watches every run from that point on, remediating or escalating as its guardrails allow</w:t>
      </w:r>
      <w:r>
        <w:rPr>
          <w:rFonts w:ascii="Calibri" w:cs="Calibri" w:eastAsia="Calibri" w:hAnsi="Calibri"/>
          <w:color w:val="5A6B7B"/>
          <w:sz w:val="20"/>
          <w:szCs w:val="20"/>
        </w:rPr>
        <w:t xml:space="preserve">  (FR-06)</w:t>
      </w:r>
    </w:p>
    <w:sectPr>
      <w:pgSz w:w="12240" w:h="15840" w:orient="portrait"/>
      <w:pgMar w:top="1080" w:right="1200" w:bottom="1080" w:left="12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31" w:hanging="259"/>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F2937"/>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2026-07-20T00:28:12.224Z</dcterms:created>
  <dcterms:modified xsi:type="dcterms:W3CDTF">2026-07-20T00:28:12.224Z</dcterms:modified>
</cp:coreProperties>
</file>

<file path=docProps/custom.xml><?xml version="1.0" encoding="utf-8"?>
<Properties xmlns="http://schemas.openxmlformats.org/officeDocument/2006/custom-properties" xmlns:vt="http://schemas.openxmlformats.org/officeDocument/2006/docPropsVTypes"/>
</file>