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Organizational Memory</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Capturing Tacit Knowledge and Building the Missing Context Layer for Industrial AI</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Manufacturing processes span a vast number of applications, tools, and tasks. The operational knowledge this entails is only partially captured in traditional written documentation, as much of it is tacitly held by experienced shop floor workers [1,12]. Currently, established methodologies fail to systematically capture this human knowledge for industrial applications</w:t>
      </w:r>
      <w:r w:rsidDel="00000000" w:rsidR="00000000" w:rsidRPr="00000000">
        <w:rPr>
          <w:rFonts w:ascii="Avenir" w:cs="Avenir" w:eastAsia="Avenir" w:hAnsi="Avenir"/>
          <w:color w:val="2b2b2b"/>
          <w:sz w:val="14"/>
          <w:szCs w:val="14"/>
          <w:rtl w:val="0"/>
        </w:rPr>
        <w:t xml:space="preserve"> [4]</w:t>
      </w:r>
      <w:r w:rsidDel="00000000" w:rsidR="00000000" w:rsidRPr="00000000">
        <w:rPr>
          <w:rFonts w:ascii="Avenir" w:cs="Avenir" w:eastAsia="Avenir" w:hAnsi="Avenir"/>
          <w:color w:val="2b2b2b"/>
          <w:sz w:val="14"/>
          <w:szCs w:val="14"/>
          <w:rtl w:val="0"/>
        </w:rPr>
        <w:t xml:space="preserve">. Accelerated by the</w:t>
      </w:r>
      <w:r w:rsidDel="00000000" w:rsidR="00000000" w:rsidRPr="00000000">
        <w:rPr>
          <w:rFonts w:ascii="Avenir" w:cs="Avenir" w:eastAsia="Avenir" w:hAnsi="Avenir"/>
          <w:color w:val="2b2b2b"/>
          <w:sz w:val="14"/>
          <w:szCs w:val="14"/>
          <w:rtl w:val="0"/>
        </w:rPr>
        <w:t xml:space="preserve"> silver tsunami</w:t>
      </w:r>
      <w:r w:rsidDel="00000000" w:rsidR="00000000" w:rsidRPr="00000000">
        <w:rPr>
          <w:rFonts w:ascii="Avenir" w:cs="Avenir" w:eastAsia="Avenir" w:hAnsi="Avenir"/>
          <w:color w:val="2b2b2b"/>
          <w:sz w:val="14"/>
          <w:szCs w:val="14"/>
          <w:rtl w:val="0"/>
        </w:rPr>
        <w:t xml:space="preserve">, this expertise is increasingly at risk of being lost as the workforce that holds it approaches retirement: one quarter of the manufacturing workforce is over 55 years old [11], with 1.9M new roles projected to be unfilled in the US alone </w:t>
      </w:r>
      <w:r w:rsidDel="00000000" w:rsidR="00000000" w:rsidRPr="00000000">
        <w:rPr>
          <w:rFonts w:ascii="Avenir" w:cs="Avenir" w:eastAsia="Avenir" w:hAnsi="Avenir"/>
          <w:color w:val="2b2b2b"/>
          <w:sz w:val="14"/>
          <w:szCs w:val="14"/>
          <w:rtl w:val="0"/>
        </w:rPr>
        <w:t xml:space="preserve">by 2033 [3].</w:t>
      </w:r>
      <w:r w:rsidDel="00000000" w:rsidR="00000000" w:rsidRPr="00000000">
        <w:rPr>
          <w:rFonts w:ascii="Avenir" w:cs="Avenir" w:eastAsia="Avenir" w:hAnsi="Avenir"/>
          <w:color w:val="2b2b2b"/>
          <w:sz w:val="14"/>
          <w:szCs w:val="14"/>
          <w:rtl w:val="0"/>
        </w:rPr>
        <w:t xml:space="preserve"> As this expertise disappears, a knowledge</w:t>
      </w:r>
      <w:r w:rsidDel="00000000" w:rsidR="00000000" w:rsidRPr="00000000">
        <w:rPr>
          <w:rFonts w:ascii="Avenir" w:cs="Avenir" w:eastAsia="Avenir" w:hAnsi="Avenir"/>
          <w:color w:val="2b2b2b"/>
          <w:sz w:val="14"/>
          <w:szCs w:val="14"/>
          <w:rtl w:val="0"/>
        </w:rPr>
        <w:t xml:space="preserve"> ga</w:t>
      </w:r>
      <w:r w:rsidDel="00000000" w:rsidR="00000000" w:rsidRPr="00000000">
        <w:rPr>
          <w:rFonts w:ascii="Avenir" w:cs="Avenir" w:eastAsia="Avenir" w:hAnsi="Avenir"/>
          <w:color w:val="2b2b2b"/>
          <w:sz w:val="14"/>
          <w:szCs w:val="14"/>
          <w:rtl w:val="0"/>
        </w:rPr>
        <w:t xml:space="preserve">p emerges that data-driven models cannot fill, as they lack precisely the domain expertise held by retiring workers to validate outputs [1]. Worker acceptance and the cognitive burden of knowledge externalization remain open challenges [4,12].</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Connecting this captured human expertise with existing enterprise data creates a context layer that is currently absent in industrial organizations [1,6,7]. This layer could make organizational knowledge searchable, reusable, and scalable across teams, shifts, and sites. Expert judgment becomes accessible on demand, reducing dependence on individual availability and supporting knowledge transfer to younger workers [5,8,9]. </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2b2b2b"/>
          <w:sz w:val="14"/>
          <w:szCs w:val="14"/>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2b2b2b"/>
          <w:sz w:val="14"/>
          <w:szCs w:val="14"/>
        </w:rPr>
      </w:pPr>
      <w:r w:rsidDel="00000000" w:rsidR="00000000" w:rsidRPr="00000000">
        <w:rPr>
          <w:rFonts w:ascii="Avenir" w:cs="Avenir" w:eastAsia="Avenir" w:hAnsi="Avenir"/>
          <w:color w:val="2b2b2b"/>
          <w:sz w:val="14"/>
          <w:szCs w:val="14"/>
          <w:rtl w:val="0"/>
        </w:rPr>
        <w:t xml:space="preserve">“We experience at least one outage per week lasting longer than a single shift, because the expert whose knowledge we need is simply not available.” - </w:t>
      </w:r>
      <w:r w:rsidDel="00000000" w:rsidR="00000000" w:rsidRPr="00000000">
        <w:rPr>
          <w:rFonts w:ascii="Avenir" w:cs="Avenir" w:eastAsia="Avenir" w:hAnsi="Avenir"/>
          <w:i w:val="1"/>
          <w:iCs w:val="1"/>
          <w:color w:val="2b2b2b"/>
          <w:sz w:val="14"/>
          <w:szCs w:val="14"/>
          <w:rtl w:val="0"/>
        </w:rPr>
        <w:t xml:space="preserve">Siemens Manufacturing Engineer</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i w:val="1"/>
          <w:iCs w:val="1"/>
          <w:color w:val="2b2b2b"/>
          <w:sz w:val="14"/>
          <w:szCs w:val="14"/>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i w:val="1"/>
          <w:iCs w:val="1"/>
          <w:color w:val="2b2b2b"/>
          <w:sz w:val="14"/>
          <w:szCs w:val="14"/>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i w:val="1"/>
          <w:iCs w:val="1"/>
          <w:color w:val="2b2b2b"/>
          <w:sz w:val="14"/>
          <w:szCs w:val="14"/>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References:</w:t>
      </w: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tl w:val="0"/>
        </w:rPr>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Johnson M, Albizri A, Harfouche A, Fosso-Wamba S. Integrating human knowledge into artificial intelligence for complex and ill-structured problems: informed artificial intelligence. Int J Inf Manag. 2022;64:102479. doi:10.1016/j.ijinfomgt.2022.102479</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u w:val="none"/>
        </w:rPr>
      </w:pPr>
      <w:r w:rsidDel="00000000" w:rsidR="00000000" w:rsidRPr="00000000">
        <w:rPr>
          <w:rFonts w:ascii="Avenir" w:cs="Avenir" w:eastAsia="Avenir" w:hAnsi="Avenir"/>
          <w:color w:val="2b2b2b"/>
          <w:sz w:val="14"/>
          <w:szCs w:val="14"/>
          <w:rtl w:val="0"/>
        </w:rPr>
        <w:t xml:space="preserve">Blahblah</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Coykendall J, Hardin K, Morehouse J, et al. Taking charge: Manufacturers support growth with active workforce strategies. Deloitte Insights. Published April 3, 2024. Accessed March 9. 2026.</w:t>
      </w:r>
      <w:hyperlink r:id="rId6">
        <w:r w:rsidDel="00000000" w:rsidR="00000000" w:rsidRPr="00000000">
          <w:rPr>
            <w:rFonts w:ascii="Avenir" w:cs="Avenir" w:eastAsia="Avenir" w:hAnsi="Avenir"/>
            <w:color w:val="2b2b2b"/>
            <w:sz w:val="14"/>
            <w:szCs w:val="14"/>
            <w:rtl w:val="0"/>
          </w:rPr>
          <w:t xml:space="preserve">https://www.deloitte.com/us/en/insights/industry/manufacturing-industrial-products/supporting-us-manufacturing-growth-amid-workforce-challenges.html</w:t>
        </w:r>
      </w:hyperlink>
      <w:r w:rsidDel="00000000" w:rsidR="00000000" w:rsidRPr="00000000">
        <w:rPr>
          <w:rFonts w:ascii="Avenir" w:cs="Avenir" w:eastAsia="Avenir" w:hAnsi="Avenir"/>
          <w:color w:val="2b2b2b"/>
          <w:sz w:val="14"/>
          <w:szCs w:val="14"/>
          <w:rtl w:val="0"/>
        </w:rPr>
        <w:t xml:space="preserve"> </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Chen H, Li S, Fan J, et al. Human-in-the-loop robot learning for smart manufacturing: a human-centric perspective. IEEE Trans Autom Sci Eng. 2025;22:11062-11086. doi:10.1109/TASE.2025.3528051</w:t>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Sonnenschein B. Knowledge management with AI: how artificial intelligence ensures knowledge transfer in SMEs. Data Unplugged. Published December 18, 2025. Accessed March 9, 2026. </w:t>
      </w:r>
      <w:hyperlink r:id="rId7">
        <w:r w:rsidDel="00000000" w:rsidR="00000000" w:rsidRPr="00000000">
          <w:rPr>
            <w:rFonts w:ascii="Avenir" w:cs="Avenir" w:eastAsia="Avenir" w:hAnsi="Avenir"/>
            <w:color w:val="1155cc"/>
            <w:sz w:val="14"/>
            <w:szCs w:val="14"/>
            <w:u w:val="single"/>
            <w:rtl w:val="0"/>
          </w:rPr>
          <w:t xml:space="preserve">https://www.data-unplugged.de/en/blog/knowledge-management-ai-knowledge-transfer-sme</w:t>
        </w:r>
      </w:hyperlink>
      <w:r w:rsidDel="00000000" w:rsidR="00000000" w:rsidRPr="00000000">
        <w:rPr>
          <w:rFonts w:ascii="Avenir" w:cs="Avenir" w:eastAsia="Avenir" w:hAnsi="Avenir"/>
          <w:color w:val="2b2b2b"/>
          <w:sz w:val="14"/>
          <w:szCs w:val="14"/>
          <w:rtl w:val="0"/>
        </w:rPr>
        <w:t xml:space="preserve"> </w:t>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Deng C, Ji X, Rainey C, Zhang J, Lu W. Integrating machine learning with human knowledge. iScience. 2020;23(11):101656. doi:10.1016/j.isci.2020.101656</w:t>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Miller T, Durlik I, Łobodzińska A, Dorobczyński L, Jasionowski R. AI in context: harnessing domain knowledge for smarter machine learning. Appl Sci. 2024;14(24):11612. doi:10.3390/app142411612</w:t>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Jarrahi MH, Askay D, Eshraghi A, Smith P. Artificial intelligence and knowledge management: a partnership between human and AI. Bus Horiz. 2023;66(1):87-99. doi:10.1016/j.bushor.2022.03.002</w:t>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Kling N, Haugk S, Gebauer H. Towards a data-driven organisation: Making data a strategic knowledge asset in SMEs. </w:t>
      </w:r>
      <w:r w:rsidDel="00000000" w:rsidR="00000000" w:rsidRPr="00000000">
        <w:rPr>
          <w:rFonts w:ascii="Avenir" w:cs="Avenir" w:eastAsia="Avenir" w:hAnsi="Avenir"/>
          <w:i w:val="1"/>
          <w:iCs w:val="1"/>
          <w:color w:val="2b2b2b"/>
          <w:sz w:val="14"/>
          <w:szCs w:val="14"/>
          <w:rtl w:val="0"/>
        </w:rPr>
        <w:t xml:space="preserve">J Knowl Econ.</w:t>
      </w:r>
      <w:r w:rsidDel="00000000" w:rsidR="00000000" w:rsidRPr="00000000">
        <w:rPr>
          <w:rFonts w:ascii="Avenir" w:cs="Avenir" w:eastAsia="Avenir" w:hAnsi="Avenir"/>
          <w:color w:val="2b2b2b"/>
          <w:sz w:val="14"/>
          <w:szCs w:val="14"/>
          <w:rtl w:val="0"/>
        </w:rPr>
        <w:t xml:space="preserve"> 2025;16:18424-18442. doi:10.1007/s13132-025-02631-x</w:t>
      </w:r>
    </w:p>
    <w:p w:rsidR="00000000" w:rsidDel="00000000" w:rsidP="00000000" w:rsidRDefault="00000000" w:rsidRPr="00000000" w14:paraId="00000017">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u w:val="none"/>
        </w:rPr>
      </w:pPr>
      <w:r w:rsidDel="00000000" w:rsidR="00000000" w:rsidRPr="00000000">
        <w:rPr>
          <w:rFonts w:ascii="Avenir" w:cs="Avenir" w:eastAsia="Avenir" w:hAnsi="Avenir"/>
          <w:color w:val="2b2b2b"/>
          <w:sz w:val="14"/>
          <w:szCs w:val="14"/>
          <w:rtl w:val="0"/>
        </w:rPr>
        <w:t xml:space="preserve">BlahBlah</w:t>
      </w:r>
    </w:p>
    <w:p w:rsidR="00000000" w:rsidDel="00000000" w:rsidP="00000000" w:rsidRDefault="00000000" w:rsidRPr="00000000" w14:paraId="0000001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u w:val="none"/>
        </w:rPr>
      </w:pPr>
      <w:r w:rsidDel="00000000" w:rsidR="00000000" w:rsidRPr="00000000">
        <w:rPr>
          <w:rFonts w:ascii="Avenir" w:cs="Avenir" w:eastAsia="Avenir" w:hAnsi="Avenir"/>
          <w:color w:val="2b2b2b"/>
          <w:sz w:val="14"/>
          <w:szCs w:val="14"/>
          <w:rtl w:val="0"/>
        </w:rPr>
        <w:t xml:space="preserve">US Bureau of Labor Statistics. Employed people by detailed industry and age. Published January 22, 2021. Accessed April 1, 2026. </w:t>
      </w:r>
      <w:hyperlink r:id="rId8">
        <w:r w:rsidDel="00000000" w:rsidR="00000000" w:rsidRPr="00000000">
          <w:rPr>
            <w:rFonts w:ascii="Avenir" w:cs="Avenir" w:eastAsia="Avenir" w:hAnsi="Avenir"/>
            <w:color w:val="1155cc"/>
            <w:sz w:val="14"/>
            <w:szCs w:val="14"/>
            <w:u w:val="single"/>
            <w:rtl w:val="0"/>
          </w:rPr>
          <w:t xml:space="preserve">https://www.bls.gov/cps/cpsaat18b.htm</w:t>
        </w:r>
      </w:hyperlink>
      <w:r w:rsidDel="00000000" w:rsidR="00000000" w:rsidRPr="00000000">
        <w:rPr>
          <w:rFonts w:ascii="Avenir" w:cs="Avenir" w:eastAsia="Avenir" w:hAnsi="Avenir"/>
          <w:color w:val="2b2b2b"/>
          <w:sz w:val="14"/>
          <w:szCs w:val="14"/>
          <w:rtl w:val="0"/>
        </w:rPr>
        <w:t xml:space="preserve"> </w:t>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2b2b2b"/>
          <w:sz w:val="14"/>
          <w:szCs w:val="14"/>
          <w:u w:val="none"/>
        </w:rPr>
      </w:pPr>
      <w:r w:rsidDel="00000000" w:rsidR="00000000" w:rsidRPr="00000000">
        <w:rPr>
          <w:rFonts w:ascii="Avenir" w:cs="Avenir" w:eastAsia="Avenir" w:hAnsi="Avenir"/>
          <w:color w:val="2b2b2b"/>
          <w:sz w:val="14"/>
          <w:szCs w:val="14"/>
          <w:rtl w:val="0"/>
        </w:rPr>
        <w:t xml:space="preserve">Hoerner L, Schamberger M, Bodendorf F. Using tacit expert knowledge to support shop-floor operators through a knowledge-based assistance system. Comput Support Coop Work. 2022;32(1):55-91. doi:10.1007/s10606-022-09445-4</w:t>
      </w:r>
    </w:p>
    <w:p w:rsidR="00000000" w:rsidDel="00000000" w:rsidP="00000000" w:rsidRDefault="00000000" w:rsidRPr="00000000" w14:paraId="0000001A">
      <w:pPr>
        <w:spacing w:after="0" w:before="0" w:line="240" w:lineRule="auto"/>
        <w:rPr>
          <w:color w:val="2b2b2b"/>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deloitte.com/us/en/insights/industry/manufacturing-industrial-products/supporting-us-manufacturing-growth-amid-workforce-challenges.html" TargetMode="External"/><Relationship Id="rId7" Type="http://schemas.openxmlformats.org/officeDocument/2006/relationships/hyperlink" Target="https://www.data-unplugged.de/en/blog/knowledge-management-ai-knowledge-transfer-sme" TargetMode="External"/><Relationship Id="rId8" Type="http://schemas.openxmlformats.org/officeDocument/2006/relationships/hyperlink" Target="https://www.bls.gov/cps/cpsaat18b.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