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comments+xml" PartName="/word/comments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before="0" w:line="240" w:lineRule="auto"/>
        <w:jc w:val="both"/>
        <w:rPr>
          <w:rFonts w:ascii="Avenir" w:cs="Avenir" w:eastAsia="Avenir" w:hAnsi="Avenir"/>
          <w:sz w:val="18"/>
          <w:szCs w:val="18"/>
        </w:rPr>
      </w:pPr>
      <w:r w:rsidDel="00000000" w:rsidR="00000000" w:rsidRPr="00000000">
        <w:rPr>
          <w:rFonts w:ascii="Avenir" w:cs="Avenir" w:eastAsia="Avenir" w:hAnsi="Avenir"/>
          <w:b w:val="1"/>
          <w:bCs w:val="1"/>
          <w:color w:val="5b9bd5"/>
          <w:sz w:val="24"/>
          <w:szCs w:val="24"/>
          <w:rtl w:val="0"/>
        </w:rPr>
        <w:t xml:space="preserve">CONTINUOUS COMPLIANCE AUTOMATION</w:t>
      </w:r>
      <w:r w:rsidDel="00000000" w:rsidR="00000000" w:rsidRPr="00000000">
        <w:rPr>
          <w:rFonts w:ascii="Avenir" w:cs="Avenir" w:eastAsia="Avenir" w:hAnsi="Avenir"/>
          <w:sz w:val="18"/>
          <w:szCs w:val="18"/>
          <w:rtl w:val="0"/>
        </w:rPr>
        <w:br w:type="textWrapping"/>
      </w:r>
      <w:r w:rsidDel="00000000" w:rsidR="00000000" w:rsidRPr="00000000">
        <w:rPr>
          <w:rFonts w:ascii="Avenir" w:cs="Avenir" w:eastAsia="Avenir" w:hAnsi="Avenir"/>
          <w:sz w:val="18"/>
          <w:szCs w:val="18"/>
          <w:rtl w:val="0"/>
        </w:rPr>
        <w:t xml:space="preserve">Expanding Compliance Regulations into Automated Shopfloor Infrastructure</w:t>
      </w:r>
    </w:p>
    <w:p w:rsidR="00000000" w:rsidDel="00000000" w:rsidP="00000000" w:rsidRDefault="00000000" w:rsidRPr="00000000" w14:paraId="00000002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before="0" w:line="240" w:lineRule="auto"/>
        <w:jc w:val="both"/>
        <w:rPr>
          <w:rFonts w:ascii="Avenir" w:cs="Avenir" w:eastAsia="Avenir" w:hAnsi="Avenir"/>
          <w:sz w:val="14"/>
          <w:szCs w:val="1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120" w:before="120" w:line="240" w:lineRule="auto"/>
        <w:jc w:val="both"/>
        <w:rPr>
          <w:rFonts w:ascii="Avenir" w:cs="Avenir" w:eastAsia="Avenir" w:hAnsi="Avenir"/>
          <w:color w:val="2b2b2b"/>
          <w:sz w:val="14"/>
          <w:szCs w:val="14"/>
        </w:rPr>
      </w:pPr>
      <w:r w:rsidDel="00000000" w:rsidR="00000000" w:rsidRPr="00000000">
        <w:rPr>
          <w:rFonts w:ascii="Avenir" w:cs="Avenir" w:eastAsia="Avenir" w:hAnsi="Avenir"/>
          <w:color w:val="2b2b2b"/>
          <w:sz w:val="14"/>
          <w:szCs w:val="14"/>
          <w:rtl w:val="0"/>
        </w:rPr>
        <w:t xml:space="preserve">With the integration of industrial AI into factory operations for reactor control and production line optimization, regulatory compliance has become a significant barrier to deployment</w:t>
      </w:r>
      <w:r w:rsidDel="00000000" w:rsidR="00000000" w:rsidRPr="00000000">
        <w:rPr>
          <w:rFonts w:ascii="Avenir" w:cs="Avenir" w:eastAsia="Avenir" w:hAnsi="Avenir"/>
          <w:color w:val="2b2b2b"/>
          <w:sz w:val="14"/>
          <w:szCs w:val="14"/>
          <w:rtl w:val="0"/>
        </w:rPr>
        <w:t xml:space="preserve"> [1,2]</w:t>
      </w:r>
      <w:r w:rsidDel="00000000" w:rsidR="00000000" w:rsidRPr="00000000">
        <w:rPr>
          <w:rFonts w:ascii="Avenir" w:cs="Avenir" w:eastAsia="Avenir" w:hAnsi="Avenir"/>
          <w:color w:val="2b2b2b"/>
          <w:sz w:val="14"/>
          <w:szCs w:val="14"/>
          <w:rtl w:val="0"/>
        </w:rPr>
        <w:t xml:space="preserve">. Today, compliance teams perform many manual tasks, such as logging decisions, reconstructing audit trails from fragmented systems, and cross-referencing regulatory frameworks [3].</w:t>
      </w:r>
      <w:r w:rsidDel="00000000" w:rsidR="00000000" w:rsidRPr="00000000">
        <w:rPr>
          <w:rFonts w:ascii="Avenir" w:cs="Avenir" w:eastAsia="Avenir" w:hAnsi="Avenir"/>
          <w:color w:val="2b2b2b"/>
          <w:sz w:val="14"/>
          <w:szCs w:val="14"/>
          <w:rtl w:val="0"/>
        </w:rPr>
        <w:t xml:space="preserve"> These manual validation processes often take months to complete, while the underlying models they certify evolve continuously [4,5]</w:t>
      </w:r>
      <w:r w:rsidDel="00000000" w:rsidR="00000000" w:rsidRPr="00000000">
        <w:rPr>
          <w:rFonts w:ascii="Avenir" w:cs="Avenir" w:eastAsia="Avenir" w:hAnsi="Avenir"/>
          <w:color w:val="2b2b2b"/>
          <w:sz w:val="14"/>
          <w:szCs w:val="14"/>
          <w:rtl w:val="0"/>
        </w:rPr>
        <w:t xml:space="preserve">. Because industrial models adapt and retrain on live data, periodic manual compliance processes simply cannot keep pace [5,6]. </w:t>
      </w:r>
    </w:p>
    <w:p w:rsidR="00000000" w:rsidDel="00000000" w:rsidP="00000000" w:rsidRDefault="00000000" w:rsidRPr="00000000" w14:paraId="00000004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120" w:before="120" w:line="240" w:lineRule="auto"/>
        <w:jc w:val="both"/>
        <w:rPr>
          <w:rFonts w:ascii="Avenir" w:cs="Avenir" w:eastAsia="Avenir" w:hAnsi="Avenir"/>
          <w:color w:val="2b2b2b"/>
          <w:sz w:val="14"/>
          <w:szCs w:val="14"/>
        </w:rPr>
      </w:pPr>
      <w:r w:rsidDel="00000000" w:rsidR="00000000" w:rsidRPr="00000000">
        <w:rPr>
          <w:rFonts w:ascii="Avenir" w:cs="Avenir" w:eastAsia="Avenir" w:hAnsi="Avenir"/>
          <w:color w:val="2b2b2b"/>
          <w:sz w:val="14"/>
          <w:szCs w:val="14"/>
          <w:rtl w:val="0"/>
        </w:rPr>
        <w:t xml:space="preserve">Th</w:t>
      </w:r>
      <w:r w:rsidDel="00000000" w:rsidR="00000000" w:rsidRPr="00000000">
        <w:rPr>
          <w:rFonts w:ascii="Avenir" w:cs="Avenir" w:eastAsia="Avenir" w:hAnsi="Avenir"/>
          <w:color w:val="2b2b2b"/>
          <w:sz w:val="14"/>
          <w:szCs w:val="14"/>
          <w:rtl w:val="0"/>
        </w:rPr>
        <w:t xml:space="preserve">is creates a critical need for continuous compliance software embedded directly into industrial operations. Platforms that automatically audit safety boundaries in real time and generate regulator-ready documentation during live production are therefore needed.</w:t>
      </w:r>
      <w:r w:rsidDel="00000000" w:rsidR="00000000" w:rsidRPr="00000000">
        <w:rPr>
          <w:rFonts w:ascii="Avenir" w:cs="Avenir" w:eastAsia="Avenir" w:hAnsi="Avenir"/>
          <w:color w:val="2b2b2b"/>
          <w:sz w:val="14"/>
          <w:szCs w:val="14"/>
          <w:rtl w:val="0"/>
        </w:rPr>
        <w:t xml:space="preserve"> Such an automated compliance infrastructure would also shift the role of human auditors from manual documentation to oversight, clarification of roles, and ethical considerations [9]. For this shift to be effective, however, the outputs of such platforms must be sufficiently transparent for auditors to understand and evaluate the system's findings, not simply act on them [10].</w:t>
      </w:r>
    </w:p>
    <w:p w:rsidR="00000000" w:rsidDel="00000000" w:rsidP="00000000" w:rsidRDefault="00000000" w:rsidRPr="00000000" w14:paraId="00000005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before="0" w:line="240" w:lineRule="auto"/>
        <w:jc w:val="both"/>
        <w:rPr>
          <w:rFonts w:ascii="Avenir" w:cs="Avenir" w:eastAsia="Avenir" w:hAnsi="Avenir"/>
          <w:color w:val="2b2b2b"/>
          <w:sz w:val="14"/>
          <w:szCs w:val="1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jc w:val="both"/>
        <w:rPr>
          <w:rFonts w:ascii="Avenir" w:cs="Avenir" w:eastAsia="Avenir" w:hAnsi="Avenir"/>
          <w:color w:val="2b2b2b"/>
          <w:sz w:val="14"/>
          <w:szCs w:val="14"/>
        </w:rPr>
      </w:pPr>
      <w:r w:rsidDel="00000000" w:rsidR="00000000" w:rsidRPr="00000000">
        <w:rPr>
          <w:rFonts w:ascii="Avenir" w:cs="Avenir" w:eastAsia="Avenir" w:hAnsi="Avenir"/>
          <w:color w:val="2b2b2b"/>
          <w:sz w:val="14"/>
          <w:szCs w:val="14"/>
          <w:rtl w:val="0"/>
        </w:rPr>
        <w:t xml:space="preserve">"By the time our manual certification processes are complete, the underlying technology has already moved on. We need compliance that operates at the speed of our production lines." - </w:t>
      </w:r>
      <w:commentRangeStart w:id="0"/>
      <w:r w:rsidDel="00000000" w:rsidR="00000000" w:rsidRPr="00000000">
        <w:rPr>
          <w:rFonts w:ascii="Avenir" w:cs="Avenir" w:eastAsia="Avenir" w:hAnsi="Avenir"/>
          <w:color w:val="2b2b2b"/>
          <w:sz w:val="14"/>
          <w:szCs w:val="14"/>
          <w:rtl w:val="0"/>
        </w:rPr>
        <w:t xml:space="preserve">Managing Director, Automotive Plant</w:t>
      </w:r>
      <w:commentRangeEnd w:id="0"/>
      <w:r w:rsidDel="00000000" w:rsidR="00000000" w:rsidRPr="00000000">
        <w:commentReference w:id="0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jc w:val="both"/>
        <w:rPr>
          <w:rFonts w:ascii="Avenir" w:cs="Avenir" w:eastAsia="Avenir" w:hAnsi="Avenir"/>
          <w:color w:val="2b2b2b"/>
          <w:sz w:val="14"/>
          <w:szCs w:val="1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jc w:val="both"/>
        <w:rPr>
          <w:rFonts w:ascii="Avenir" w:cs="Avenir" w:eastAsia="Avenir" w:hAnsi="Avenir"/>
          <w:color w:val="2b2b2b"/>
          <w:sz w:val="14"/>
          <w:szCs w:val="1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120" w:before="120" w:line="240" w:lineRule="auto"/>
        <w:jc w:val="both"/>
        <w:rPr>
          <w:rFonts w:ascii="Avenir" w:cs="Avenir" w:eastAsia="Avenir" w:hAnsi="Avenir"/>
          <w:b w:val="1"/>
          <w:bCs w:val="1"/>
          <w:color w:val="024ea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b w:val="1"/>
          <w:bCs w:val="1"/>
          <w:color w:val="024ea2"/>
          <w:sz w:val="15"/>
          <w:szCs w:val="15"/>
          <w:rtl w:val="0"/>
        </w:rPr>
        <w:t xml:space="preserve">References:</w:t>
      </w:r>
    </w:p>
    <w:p w:rsidR="00000000" w:rsidDel="00000000" w:rsidP="00000000" w:rsidRDefault="00000000" w:rsidRPr="00000000" w14:paraId="0000000A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240" w:before="240" w:line="240" w:lineRule="auto"/>
        <w:rPr>
          <w:rFonts w:ascii="Avenir" w:cs="Avenir" w:eastAsia="Avenir" w:hAnsi="Avenir"/>
          <w:color w:val="0e101a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0e101a"/>
          <w:sz w:val="15"/>
          <w:szCs w:val="15"/>
          <w:rtl w:val="0"/>
        </w:rPr>
        <w:t xml:space="preserve">[1] Vakkuri A, Kemell K, Kultanen J, Abrahamsson P. The current state of industrial practice in artificial intelligence ethics. </w:t>
      </w:r>
      <w:r w:rsidDel="00000000" w:rsidR="00000000" w:rsidRPr="00000000">
        <w:rPr>
          <w:rFonts w:ascii="Avenir" w:cs="Avenir" w:eastAsia="Avenir" w:hAnsi="Avenir"/>
          <w:i w:val="1"/>
          <w:iCs w:val="1"/>
          <w:color w:val="0e101a"/>
          <w:sz w:val="15"/>
          <w:szCs w:val="15"/>
          <w:rtl w:val="0"/>
        </w:rPr>
        <w:t xml:space="preserve">IEEE Softw</w:t>
      </w:r>
      <w:r w:rsidDel="00000000" w:rsidR="00000000" w:rsidRPr="00000000">
        <w:rPr>
          <w:rFonts w:ascii="Avenir" w:cs="Avenir" w:eastAsia="Avenir" w:hAnsi="Avenir"/>
          <w:color w:val="0e101a"/>
          <w:sz w:val="15"/>
          <w:szCs w:val="15"/>
          <w:rtl w:val="0"/>
        </w:rPr>
        <w:t xml:space="preserve">. 2020;37(4):50-57. </w:t>
      </w:r>
      <w:r w:rsidDel="00000000" w:rsidR="00000000" w:rsidRPr="00000000">
        <w:rPr>
          <w:rFonts w:ascii="Avenir" w:cs="Avenir" w:eastAsia="Avenir" w:hAnsi="Avenir"/>
          <w:color w:val="0e101a"/>
          <w:sz w:val="15"/>
          <w:szCs w:val="15"/>
          <w:rtl w:val="0"/>
        </w:rPr>
        <w:t xml:space="preserve">doi: 10.1109/MS.2020.2985621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240" w:before="240" w:line="240" w:lineRule="auto"/>
        <w:rPr>
          <w:rFonts w:ascii="Avenir" w:cs="Avenir" w:eastAsia="Avenir" w:hAnsi="Avenir"/>
          <w:color w:val="0e101a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0e101a"/>
          <w:sz w:val="15"/>
          <w:szCs w:val="15"/>
          <w:rtl w:val="0"/>
        </w:rPr>
        <w:t xml:space="preserve">[2] Schoeffer J, Machl T, Sperk L, et al. Requirement engineering for safety-critical machine learning systems. </w:t>
      </w:r>
      <w:r w:rsidDel="00000000" w:rsidR="00000000" w:rsidRPr="00000000">
        <w:rPr>
          <w:rFonts w:ascii="Avenir" w:cs="Avenir" w:eastAsia="Avenir" w:hAnsi="Avenir"/>
          <w:i w:val="1"/>
          <w:iCs w:val="1"/>
          <w:color w:val="0e101a"/>
          <w:sz w:val="15"/>
          <w:szCs w:val="15"/>
          <w:rtl w:val="0"/>
        </w:rPr>
        <w:t xml:space="preserve">Softw Qual J</w:t>
      </w:r>
      <w:r w:rsidDel="00000000" w:rsidR="00000000" w:rsidRPr="00000000">
        <w:rPr>
          <w:rFonts w:ascii="Avenir" w:cs="Avenir" w:eastAsia="Avenir" w:hAnsi="Avenir"/>
          <w:color w:val="0e101a"/>
          <w:sz w:val="15"/>
          <w:szCs w:val="15"/>
          <w:rtl w:val="0"/>
        </w:rPr>
        <w:t xml:space="preserve">. 2023;31:1-35. doi:10.1007/s11219-022-09590-0</w:t>
      </w:r>
    </w:p>
    <w:p w:rsidR="00000000" w:rsidDel="00000000" w:rsidP="00000000" w:rsidRDefault="00000000" w:rsidRPr="00000000" w14:paraId="0000000C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240" w:before="240" w:line="240" w:lineRule="auto"/>
        <w:rPr>
          <w:rFonts w:ascii="Avenir" w:cs="Avenir" w:eastAsia="Avenir" w:hAnsi="Avenir"/>
          <w:color w:val="0e101a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0e101a"/>
          <w:sz w:val="15"/>
          <w:szCs w:val="15"/>
          <w:rtl w:val="0"/>
        </w:rPr>
        <w:t xml:space="preserve">[3] European Parliament and Council of the European Union. Regulation (EU) 2024/1689 laying down harmonised rules on artificial intelligence (Artificial Intelligence Act). </w:t>
      </w:r>
      <w:r w:rsidDel="00000000" w:rsidR="00000000" w:rsidRPr="00000000">
        <w:rPr>
          <w:rFonts w:ascii="Avenir" w:cs="Avenir" w:eastAsia="Avenir" w:hAnsi="Avenir"/>
          <w:i w:val="1"/>
          <w:iCs w:val="1"/>
          <w:color w:val="0e101a"/>
          <w:sz w:val="15"/>
          <w:szCs w:val="15"/>
          <w:rtl w:val="0"/>
        </w:rPr>
        <w:t xml:space="preserve">Off J Eur Union</w:t>
      </w:r>
      <w:r w:rsidDel="00000000" w:rsidR="00000000" w:rsidRPr="00000000">
        <w:rPr>
          <w:rFonts w:ascii="Avenir" w:cs="Avenir" w:eastAsia="Avenir" w:hAnsi="Avenir"/>
          <w:color w:val="0e101a"/>
          <w:sz w:val="15"/>
          <w:szCs w:val="15"/>
          <w:rtl w:val="0"/>
        </w:rPr>
        <w:t xml:space="preserve">. 2024;L. Accessed on 31 March,2026. </w:t>
      </w:r>
      <w:r w:rsidDel="00000000" w:rsidR="00000000" w:rsidRPr="00000000">
        <w:rPr>
          <w:rFonts w:ascii="Avenir" w:cs="Avenir" w:eastAsia="Avenir" w:hAnsi="Avenir"/>
          <w:color w:val="0e101a"/>
          <w:sz w:val="15"/>
          <w:szCs w:val="15"/>
          <w:rtl w:val="0"/>
        </w:rPr>
        <w:t xml:space="preserve">http://data.europa.eu/eli/reg/2024/1689/oj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240" w:before="240" w:line="240" w:lineRule="auto"/>
        <w:rPr>
          <w:rFonts w:ascii="Avenir" w:cs="Avenir" w:eastAsia="Avenir" w:hAnsi="Avenir"/>
          <w:color w:val="0e101a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0e101a"/>
          <w:sz w:val="15"/>
          <w:szCs w:val="15"/>
          <w:rtl w:val="0"/>
        </w:rPr>
        <w:t xml:space="preserve">[4] Paleyes A, Urma RG, Lawrence ND. Challenges in deploying machine learning: a survey of case studies. </w:t>
      </w:r>
      <w:r w:rsidDel="00000000" w:rsidR="00000000" w:rsidRPr="00000000">
        <w:rPr>
          <w:rFonts w:ascii="Avenir" w:cs="Avenir" w:eastAsia="Avenir" w:hAnsi="Avenir"/>
          <w:i w:val="1"/>
          <w:iCs w:val="1"/>
          <w:color w:val="0e101a"/>
          <w:sz w:val="15"/>
          <w:szCs w:val="15"/>
          <w:rtl w:val="0"/>
        </w:rPr>
        <w:t xml:space="preserve">ACM Comput Surv</w:t>
      </w:r>
      <w:r w:rsidDel="00000000" w:rsidR="00000000" w:rsidRPr="00000000">
        <w:rPr>
          <w:rFonts w:ascii="Avenir" w:cs="Avenir" w:eastAsia="Avenir" w:hAnsi="Avenir"/>
          <w:color w:val="0e101a"/>
          <w:sz w:val="15"/>
          <w:szCs w:val="15"/>
          <w:rtl w:val="0"/>
        </w:rPr>
        <w:t xml:space="preserve">. 2022;55(6):1-29. doi:10.1145/3533378</w:t>
      </w:r>
    </w:p>
    <w:p w:rsidR="00000000" w:rsidDel="00000000" w:rsidP="00000000" w:rsidRDefault="00000000" w:rsidRPr="00000000" w14:paraId="0000000E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240" w:before="240" w:line="240" w:lineRule="auto"/>
        <w:rPr>
          <w:rFonts w:ascii="Avenir" w:cs="Avenir" w:eastAsia="Avenir" w:hAnsi="Avenir"/>
          <w:color w:val="0e101a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0e101a"/>
          <w:sz w:val="15"/>
          <w:szCs w:val="15"/>
          <w:rtl w:val="0"/>
        </w:rPr>
        <w:t xml:space="preserve">[5] Nahar N, Zhou S, Lewis G, Kästner C. A meta-summary of challenges in building machine learning systems. </w:t>
      </w:r>
      <w:r w:rsidDel="00000000" w:rsidR="00000000" w:rsidRPr="00000000">
        <w:rPr>
          <w:rFonts w:ascii="Avenir" w:cs="Avenir" w:eastAsia="Avenir" w:hAnsi="Avenir"/>
          <w:i w:val="1"/>
          <w:iCs w:val="1"/>
          <w:color w:val="0e101a"/>
          <w:sz w:val="15"/>
          <w:szCs w:val="15"/>
          <w:rtl w:val="0"/>
        </w:rPr>
        <w:t xml:space="preserve">Empir Softw Eng</w:t>
      </w:r>
      <w:r w:rsidDel="00000000" w:rsidR="00000000" w:rsidRPr="00000000">
        <w:rPr>
          <w:rFonts w:ascii="Avenir" w:cs="Avenir" w:eastAsia="Avenir" w:hAnsi="Avenir"/>
          <w:color w:val="0e101a"/>
          <w:sz w:val="15"/>
          <w:szCs w:val="15"/>
          <w:rtl w:val="0"/>
        </w:rPr>
        <w:t xml:space="preserve">. 2023;28(6):134. doi:10.1007/s10664-023-10344-9</w:t>
      </w:r>
    </w:p>
    <w:p w:rsidR="00000000" w:rsidDel="00000000" w:rsidP="00000000" w:rsidRDefault="00000000" w:rsidRPr="00000000" w14:paraId="0000000F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240" w:before="240" w:line="240" w:lineRule="auto"/>
        <w:rPr>
          <w:rFonts w:ascii="Avenir" w:cs="Avenir" w:eastAsia="Avenir" w:hAnsi="Avenir"/>
          <w:color w:val="0e101a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0e101a"/>
          <w:sz w:val="15"/>
          <w:szCs w:val="15"/>
          <w:rtl w:val="0"/>
        </w:rPr>
        <w:t xml:space="preserve">[6] Hinder F, Vaquet V, Hammer B. One or two things we know about concept drift: a survey on monitoring in evolving environments. </w:t>
      </w:r>
      <w:r w:rsidDel="00000000" w:rsidR="00000000" w:rsidRPr="00000000">
        <w:rPr>
          <w:rFonts w:ascii="Avenir" w:cs="Avenir" w:eastAsia="Avenir" w:hAnsi="Avenir"/>
          <w:i w:val="1"/>
          <w:iCs w:val="1"/>
          <w:color w:val="0e101a"/>
          <w:sz w:val="15"/>
          <w:szCs w:val="15"/>
          <w:rtl w:val="0"/>
        </w:rPr>
        <w:t xml:space="preserve">Front Artif Intell</w:t>
      </w:r>
      <w:r w:rsidDel="00000000" w:rsidR="00000000" w:rsidRPr="00000000">
        <w:rPr>
          <w:rFonts w:ascii="Avenir" w:cs="Avenir" w:eastAsia="Avenir" w:hAnsi="Avenir"/>
          <w:color w:val="0e101a"/>
          <w:sz w:val="15"/>
          <w:szCs w:val="15"/>
          <w:rtl w:val="0"/>
        </w:rPr>
        <w:t xml:space="preserve">. 2024;7:1330257. doi:10.3389/frai.2024.1330257</w:t>
      </w:r>
    </w:p>
    <w:p w:rsidR="00000000" w:rsidDel="00000000" w:rsidP="00000000" w:rsidRDefault="00000000" w:rsidRPr="00000000" w14:paraId="00000010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240" w:before="240" w:line="240" w:lineRule="auto"/>
        <w:rPr>
          <w:rFonts w:ascii="Avenir" w:cs="Avenir" w:eastAsia="Avenir" w:hAnsi="Avenir"/>
          <w:color w:val="0e101a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0e101a"/>
          <w:sz w:val="15"/>
          <w:szCs w:val="15"/>
          <w:rtl w:val="0"/>
        </w:rPr>
        <w:t xml:space="preserve">[7] Falcini F, Lami G, Costanza AM. Artificial intelligence for safety-critical systems in industrial and transportation domains: a survey. </w:t>
      </w:r>
      <w:r w:rsidDel="00000000" w:rsidR="00000000" w:rsidRPr="00000000">
        <w:rPr>
          <w:rFonts w:ascii="Avenir" w:cs="Avenir" w:eastAsia="Avenir" w:hAnsi="Avenir"/>
          <w:i w:val="1"/>
          <w:iCs w:val="1"/>
          <w:color w:val="0e101a"/>
          <w:sz w:val="15"/>
          <w:szCs w:val="15"/>
          <w:rtl w:val="0"/>
        </w:rPr>
        <w:t xml:space="preserve">ACM Comput Surv</w:t>
      </w:r>
      <w:r w:rsidDel="00000000" w:rsidR="00000000" w:rsidRPr="00000000">
        <w:rPr>
          <w:rFonts w:ascii="Avenir" w:cs="Avenir" w:eastAsia="Avenir" w:hAnsi="Avenir"/>
          <w:color w:val="0e101a"/>
          <w:sz w:val="15"/>
          <w:szCs w:val="15"/>
          <w:rtl w:val="0"/>
        </w:rPr>
        <w:t xml:space="preserve">. 2024;56(7):164. doi:10.1145/3626314</w:t>
      </w:r>
    </w:p>
    <w:p w:rsidR="00000000" w:rsidDel="00000000" w:rsidP="00000000" w:rsidRDefault="00000000" w:rsidRPr="00000000" w14:paraId="00000011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240" w:before="240" w:line="240" w:lineRule="auto"/>
        <w:rPr>
          <w:rFonts w:ascii="Avenir" w:cs="Avenir" w:eastAsia="Avenir" w:hAnsi="Avenir"/>
          <w:color w:val="0e101a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0e101a"/>
          <w:sz w:val="15"/>
          <w:szCs w:val="15"/>
          <w:rtl w:val="0"/>
        </w:rPr>
        <w:t xml:space="preserve">[8] Ashmore R, Calinescu R, Paterson C. Assuring the machine learning lifecycle: desiderata, methods, and challenges. </w:t>
      </w:r>
      <w:r w:rsidDel="00000000" w:rsidR="00000000" w:rsidRPr="00000000">
        <w:rPr>
          <w:rFonts w:ascii="Avenir" w:cs="Avenir" w:eastAsia="Avenir" w:hAnsi="Avenir"/>
          <w:i w:val="1"/>
          <w:iCs w:val="1"/>
          <w:color w:val="0e101a"/>
          <w:sz w:val="15"/>
          <w:szCs w:val="15"/>
          <w:rtl w:val="0"/>
        </w:rPr>
        <w:t xml:space="preserve">ACM Comput Surv</w:t>
      </w:r>
      <w:r w:rsidDel="00000000" w:rsidR="00000000" w:rsidRPr="00000000">
        <w:rPr>
          <w:rFonts w:ascii="Avenir" w:cs="Avenir" w:eastAsia="Avenir" w:hAnsi="Avenir"/>
          <w:color w:val="0e101a"/>
          <w:sz w:val="15"/>
          <w:szCs w:val="15"/>
          <w:rtl w:val="0"/>
        </w:rPr>
        <w:t xml:space="preserve">. 2021;54(5):1-39. doi:10.1145/3453444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240" w:before="240" w:line="240" w:lineRule="auto"/>
        <w:rPr>
          <w:rFonts w:ascii="Avenir" w:cs="Avenir" w:eastAsia="Avenir" w:hAnsi="Avenir"/>
          <w:color w:val="0e101a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0e101a"/>
          <w:sz w:val="15"/>
          <w:szCs w:val="15"/>
          <w:rtl w:val="0"/>
        </w:rPr>
        <w:t xml:space="preserve">[9] Mökander J, Floridi L. Ethics-based auditing of automated decision-making systems: nature, scope, and limitations. </w:t>
      </w:r>
      <w:r w:rsidDel="00000000" w:rsidR="00000000" w:rsidRPr="00000000">
        <w:rPr>
          <w:rFonts w:ascii="Avenir" w:cs="Avenir" w:eastAsia="Avenir" w:hAnsi="Avenir"/>
          <w:i w:val="1"/>
          <w:iCs w:val="1"/>
          <w:color w:val="0e101a"/>
          <w:sz w:val="15"/>
          <w:szCs w:val="15"/>
          <w:rtl w:val="0"/>
        </w:rPr>
        <w:t xml:space="preserve">Sci Eng Ethics</w:t>
      </w:r>
      <w:r w:rsidDel="00000000" w:rsidR="00000000" w:rsidRPr="00000000">
        <w:rPr>
          <w:rFonts w:ascii="Avenir" w:cs="Avenir" w:eastAsia="Avenir" w:hAnsi="Avenir"/>
          <w:color w:val="0e101a"/>
          <w:sz w:val="15"/>
          <w:szCs w:val="15"/>
          <w:rtl w:val="0"/>
        </w:rPr>
        <w:t xml:space="preserve">. 2021;27(4):44. doi:10.1007/s11948-021-00319-4</w:t>
      </w:r>
    </w:p>
    <w:p w:rsidR="00000000" w:rsidDel="00000000" w:rsidP="00000000" w:rsidRDefault="00000000" w:rsidRPr="00000000" w14:paraId="00000013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240" w:before="240" w:line="240" w:lineRule="auto"/>
        <w:rPr>
          <w:rFonts w:ascii="Avenir" w:cs="Avenir" w:eastAsia="Avenir" w:hAnsi="Avenir"/>
          <w:color w:val="0e101a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0e101a"/>
          <w:sz w:val="15"/>
          <w:szCs w:val="15"/>
          <w:rtl w:val="0"/>
        </w:rPr>
        <w:t xml:space="preserve">[10] Barredo Arrieta A, Díaz-Rodríguez N, Del Ser J, et al. Explainable artificial intelligence (XAI): concepts, taxonomies, opportunities and challenges toward responsible AI. </w:t>
      </w:r>
      <w:r w:rsidDel="00000000" w:rsidR="00000000" w:rsidRPr="00000000">
        <w:rPr>
          <w:rFonts w:ascii="Avenir" w:cs="Avenir" w:eastAsia="Avenir" w:hAnsi="Avenir"/>
          <w:i w:val="1"/>
          <w:iCs w:val="1"/>
          <w:color w:val="0e101a"/>
          <w:sz w:val="15"/>
          <w:szCs w:val="15"/>
          <w:rtl w:val="0"/>
        </w:rPr>
        <w:t xml:space="preserve">Inf Fusion</w:t>
      </w:r>
      <w:r w:rsidDel="00000000" w:rsidR="00000000" w:rsidRPr="00000000">
        <w:rPr>
          <w:rFonts w:ascii="Avenir" w:cs="Avenir" w:eastAsia="Avenir" w:hAnsi="Avenir"/>
          <w:color w:val="0e101a"/>
          <w:sz w:val="15"/>
          <w:szCs w:val="15"/>
          <w:rtl w:val="0"/>
        </w:rPr>
        <w:t xml:space="preserve">. 2020;58:82-115. doi:10.1016/j.inffus.2019.12.012</w:t>
      </w:r>
    </w:p>
    <w:p w:rsidR="00000000" w:rsidDel="00000000" w:rsidP="00000000" w:rsidRDefault="00000000" w:rsidRPr="00000000" w14:paraId="00000014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240" w:before="240" w:line="240" w:lineRule="auto"/>
        <w:rPr>
          <w:rFonts w:ascii="Avenir" w:cs="Avenir" w:eastAsia="Avenir" w:hAnsi="Avenir"/>
          <w:color w:val="0e101a"/>
          <w:sz w:val="15"/>
          <w:szCs w:val="1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0" w:before="0" w:line="240" w:lineRule="auto"/>
        <w:rPr>
          <w:rFonts w:ascii="Avenir" w:cs="Avenir" w:eastAsia="Avenir" w:hAnsi="Avenir"/>
          <w:color w:val="2b2b2b"/>
          <w:sz w:val="14"/>
          <w:szCs w:val="14"/>
        </w:rPr>
      </w:pPr>
      <w:r w:rsidDel="00000000" w:rsidR="00000000" w:rsidRPr="00000000">
        <w:rPr>
          <w:rtl w:val="0"/>
        </w:rPr>
      </w:r>
    </w:p>
    <w:sectPr>
      <w:headerReference r:id="rId7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comments.xml><?xml version="1.0" encoding="utf-8"?>
<w:comme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comment w:author="Noah Grohganz" w:id="0" w:date="2026-03-31T23:47:43Z"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Unsure if this is how we wanna do the quotes - just flagging here</w:t>
      </w:r>
    </w:p>
  </w:comment>
</w:comments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venir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6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comments" Target="comments.xml"/><Relationship Id="rId3" Type="http://schemas.openxmlformats.org/officeDocument/2006/relationships/settings" Target="settings.xml"/><Relationship Id="rId4" Type="http://schemas.openxmlformats.org/officeDocument/2006/relationships/fontTable" Target="fontTable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