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HUMAN-AI COLLABORATION</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8"/>
          <w:szCs w:val="18"/>
        </w:rPr>
      </w:pPr>
      <w:r w:rsidDel="00000000" w:rsidR="00000000" w:rsidRPr="00000000">
        <w:rPr>
          <w:rFonts w:ascii="Avenir" w:cs="Avenir" w:eastAsia="Avenir" w:hAnsi="Avenir"/>
          <w:color w:val="3c3f42"/>
          <w:sz w:val="18"/>
          <w:szCs w:val="18"/>
          <w:rtl w:val="0"/>
        </w:rPr>
        <w:t xml:space="preserve">Bridging the Interaction Gap on the Industrial Shop Floor</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b w:val="1"/>
          <w:bCs w:val="1"/>
          <w:color w:val="434343"/>
          <w:sz w:val="14"/>
          <w:szCs w:val="14"/>
        </w:rPr>
      </w:pPr>
      <w:r w:rsidDel="00000000" w:rsidR="00000000" w:rsidRPr="00000000">
        <w:rPr>
          <w:rFonts w:ascii="Avenir" w:cs="Avenir" w:eastAsia="Avenir" w:hAnsi="Avenir"/>
          <w:b w:val="1"/>
          <w:bCs w:val="1"/>
          <w:color w:val="434343"/>
          <w:sz w:val="14"/>
          <w:szCs w:val="14"/>
          <w:rtl w:val="0"/>
        </w:rPr>
        <w:t xml:space="preserve">Industrial AI once analyzed historical data to inform decisions, but now increasingly operates in real-time on the shop floor, adjusting processes, flagging anomalies, and advising workers as events unfold [1,2]. This shifts intelligent systems from retrospective tools to direct operational participants, changing the demands on workers. Instead of performing clearly defined tasks, operators, engineers, and technicians must now collaborate with, supervise, and evaluate autonomous systems [3,4]. As systems and workers share decision-making and oversight responsibilities, trust becomes a critical element of effective human–AI interaction [4,7].</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b w:val="1"/>
          <w:bCs w:val="1"/>
          <w:color w:val="434343"/>
          <w:sz w:val="14"/>
          <w:szCs w:val="14"/>
        </w:rPr>
      </w:pPr>
      <w:r w:rsidDel="00000000" w:rsidR="00000000" w:rsidRPr="00000000">
        <w:rPr>
          <w:rFonts w:ascii="Avenir" w:cs="Avenir" w:eastAsia="Avenir" w:hAnsi="Avenir"/>
          <w:b w:val="1"/>
          <w:bCs w:val="1"/>
          <w:color w:val="434343"/>
          <w:sz w:val="14"/>
          <w:szCs w:val="14"/>
          <w:rtl w:val="0"/>
        </w:rPr>
        <w:t xml:space="preserve">However, the infrastructure supporting this collaboration has not kept pace. Much of the hardware, interfaces, and organizational structures today were designed for settings where humans made decisions and machines executed [5]. Now, AI takes on intelligent tasks like fault diagnosis, intervention recommendations, and real-time process adaptation [1,2]. The quality and smoothness of interaction between humans and intelligent machines is therefore becoming a central element of industrial productivity [6,15]. This necessitates a connective layer that manages the bidirectional flow of information, governs control distribution, and maintains trust between workers and systems [7].</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b w:val="1"/>
          <w:bCs w:val="1"/>
          <w:color w:val="434343"/>
          <w:sz w:val="14"/>
          <w:szCs w:val="14"/>
        </w:rPr>
      </w:pPr>
      <w:r w:rsidDel="00000000" w:rsidR="00000000" w:rsidRPr="00000000">
        <w:rPr>
          <w:rFonts w:ascii="Avenir" w:cs="Avenir" w:eastAsia="Avenir" w:hAnsi="Avenir"/>
          <w:b w:val="1"/>
          <w:bCs w:val="1"/>
          <w:color w:val="434343"/>
          <w:sz w:val="14"/>
          <w:szCs w:val="14"/>
          <w:rtl w:val="0"/>
        </w:rPr>
        <w:t xml:space="preserve">Addressing this gap offers three distinct opportunities. First, organizational memory, much of which is tacit and experiential, can be captured during operation and made accessible to humans and machines [8]. Currently, this knowledge risks being lost through turnover or retirement [8,15]. Instead of relying solely on post-hoc documentation, tacit shop-floor knowledge can be systematically captured and externalized during operations, making it reusable across workers and systems [8,15]. This turns individual expertise into a structured, searchable organizational asset. Second, the human-machine handoff needs improvement. When control shifts between a human and an AI system, maintaining situational awareness and enabling effective handovers is a central challenge [9,13]. These transitions lack fluidity, mostly operating on a binary between full human control and full automation [10]. Designs focused on context-aware handoffs and graded responsibility sharing can therefore improve safety and efficiency [14]. Finally, the intelligence of modern autonomous systems can smooth the compliance and certification process [11,12]. As AI-enabled systems become more dynamic, maintaining conformity over their lifecycle grows demanding. Emerging continuous auditing approaches can automate parts of compliance assessment, monitoring, and reporting, reducing reliance on point-in-time audits [12]. If the resulting documentation is audit-ready, reliability scales with system capability instead of against it [13].</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b w:val="1"/>
          <w:bCs w:val="1"/>
          <w:color w:val="434343"/>
          <w:sz w:val="14"/>
          <w:szCs w:val="14"/>
        </w:rPr>
      </w:pP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b w:val="1"/>
          <w:bCs w:val="1"/>
          <w:color w:val="3c3f42"/>
          <w:sz w:val="14"/>
          <w:szCs w:val="14"/>
        </w:rPr>
      </w:pPr>
      <w:r w:rsidDel="00000000" w:rsidR="00000000" w:rsidRPr="00000000">
        <w:rPr>
          <w:rFonts w:ascii="Avenir" w:cs="Avenir" w:eastAsia="Avenir" w:hAnsi="Avenir"/>
          <w:b w:val="1"/>
          <w:bCs w:val="1"/>
          <w:color w:val="3c3f42"/>
          <w:sz w:val="14"/>
          <w:szCs w:val="14"/>
          <w:rtl w:val="0"/>
        </w:rPr>
        <w:t xml:space="preserve">References</w:t>
      </w:r>
      <w:r w:rsidDel="00000000" w:rsidR="00000000" w:rsidRPr="00000000">
        <w:rPr>
          <w:rFonts w:ascii="Avenir" w:cs="Avenir" w:eastAsia="Avenir" w:hAnsi="Avenir"/>
          <w:b w:val="1"/>
          <w:bCs w:val="1"/>
          <w:color w:val="3c3f42"/>
          <w:sz w:val="14"/>
          <w:szCs w:val="14"/>
          <w:rtl w:val="0"/>
        </w:rPr>
        <w:t xml:space="preserve">:</w:t>
      </w:r>
    </w:p>
    <w:p w:rsidR="00000000" w:rsidDel="00000000" w:rsidP="00000000" w:rsidRDefault="00000000" w:rsidRPr="00000000" w14:paraId="00000008">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24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Siemens AG. Siemens introduces AI agents for industrial automation. Published May 2025. Accessed March 18, 2026.</w:t>
      </w:r>
      <w:hyperlink r:id="rId6">
        <w:r w:rsidDel="00000000" w:rsidR="00000000" w:rsidRPr="00000000">
          <w:rPr>
            <w:rFonts w:ascii="Avenir" w:cs="Avenir" w:eastAsia="Avenir" w:hAnsi="Avenir"/>
            <w:sz w:val="14"/>
            <w:szCs w:val="14"/>
            <w:rtl w:val="0"/>
          </w:rPr>
          <w:t xml:space="preserve"> </w:t>
        </w:r>
      </w:hyperlink>
      <w:hyperlink r:id="rId7">
        <w:r w:rsidDel="00000000" w:rsidR="00000000" w:rsidRPr="00000000">
          <w:rPr>
            <w:rFonts w:ascii="Avenir" w:cs="Avenir" w:eastAsia="Avenir" w:hAnsi="Avenir"/>
            <w:color w:val="1155cc"/>
            <w:sz w:val="14"/>
            <w:szCs w:val="14"/>
            <w:u w:val="single"/>
            <w:rtl w:val="0"/>
          </w:rPr>
          <w:t xml:space="preserve">https://press.siemens.com/global/en/pressrelease/siemens-introduces-ai-agents-industrial-automation</w:t>
        </w:r>
      </w:hyperlink>
      <w:r w:rsidDel="00000000" w:rsidR="00000000" w:rsidRPr="00000000">
        <w:rPr>
          <w:rtl w:val="0"/>
        </w:rPr>
      </w:r>
    </w:p>
    <w:p w:rsidR="00000000" w:rsidDel="00000000" w:rsidP="00000000" w:rsidRDefault="00000000" w:rsidRPr="00000000" w14:paraId="00000009">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Stracke L, Burggräf P, Sauer CR, Schütz M, Kaiser J. From human to machine: high-impact tasks for AI in production management – an expert study to reshape decision-making. Prod Eng. 2026;20(1):1-12. doi:10.1007/s11740-025-01416-0</w:t>
      </w:r>
    </w:p>
    <w:p w:rsidR="00000000" w:rsidDel="00000000" w:rsidP="00000000" w:rsidRDefault="00000000" w:rsidRPr="00000000" w14:paraId="0000000A">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Langer M, Baum K, Schlicker N. Effective human oversight of AI-based systems: a signal detection perspective on the detection of inaccurate and unfair outputs. Minds Mach. 2024;35(1):1-20. doi:10.1007/s11023-024-09701-0</w:t>
      </w:r>
    </w:p>
    <w:p w:rsidR="00000000" w:rsidDel="00000000" w:rsidP="00000000" w:rsidRDefault="00000000" w:rsidRPr="00000000" w14:paraId="0000000B">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Romeo G, Conti D. Exploring automation bias in human–AI collaboration: a review and implications for explainable AI. AI Soc. 2025;41(1):259-278. doi:10.1007/s00146-025-02422-7</w:t>
      </w:r>
    </w:p>
    <w:p w:rsidR="00000000" w:rsidDel="00000000" w:rsidP="00000000" w:rsidRDefault="00000000" w:rsidRPr="00000000" w14:paraId="0000000C">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Johnson M, Albizri A, Harfouche A, Fosso-Wamba S. Integrating human knowledge into artificial intelligence for complex and ill-structured problems: informed artificial intelligence. Int J Inf Manag. 2022;64:102479. doi:10.1016/j.ijinfomgt.2022.102479</w:t>
      </w:r>
    </w:p>
    <w:p w:rsidR="00000000" w:rsidDel="00000000" w:rsidP="00000000" w:rsidRDefault="00000000" w:rsidRPr="00000000" w14:paraId="0000000D">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Deng C, Ji X, Rainey C, Zhang J, Lu W. Integrating machine learning with human knowledge. iScience. 2020;23(11):101656. doi:10.1016/j.isci.2020.101656</w:t>
      </w:r>
    </w:p>
    <w:p w:rsidR="00000000" w:rsidDel="00000000" w:rsidP="00000000" w:rsidRDefault="00000000" w:rsidRPr="00000000" w14:paraId="0000000E">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Chen H, Li S, Fan J, et al. Human-in-the-loop robot learning for smart manufacturing: a human-centric perspective. IEEE Trans Autom Sci Eng. 2025;22:11062-11086. doi:10.1109/TASE.2025.3528051</w:t>
      </w:r>
    </w:p>
    <w:p w:rsidR="00000000" w:rsidDel="00000000" w:rsidP="00000000" w:rsidRDefault="00000000" w:rsidRPr="00000000" w14:paraId="0000000F">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Jarrahi MH, Askay D, Eshraghi A, Smith P. Artificial intelligence and knowledge management: a partnership between human and AI. Bus Horiz. 2023;66(1):87-99. doi:10.1016/j.bushor.2022.03.002</w:t>
      </w:r>
    </w:p>
    <w:p w:rsidR="00000000" w:rsidDel="00000000" w:rsidP="00000000" w:rsidRDefault="00000000" w:rsidRPr="00000000" w14:paraId="00000010">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Contreras CA, Rastegarpanah A, Chiou M, Stolkin R. A mini-review on mobile manipulators with variable autonomy. Front Robot AI. 2025;12:1540476. doi:10.3389/frobt.2025.1540476</w:t>
      </w:r>
    </w:p>
    <w:p w:rsidR="00000000" w:rsidDel="00000000" w:rsidP="00000000" w:rsidRDefault="00000000" w:rsidRPr="00000000" w14:paraId="00000011">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Perez-Cerrolaza J, Abella J, Borg M, et al. Artificial intelligence for safety-critical systems in industrial and transportation domains: a survey. ACM Comput Surv. 2024;56(7):1-40. doi:10.1145/3626314</w:t>
      </w:r>
    </w:p>
    <w:p w:rsidR="00000000" w:rsidDel="00000000" w:rsidP="00000000" w:rsidRDefault="00000000" w:rsidRPr="00000000" w14:paraId="00000012">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Hinder F, Vaquet V, Hammer B. One or two things we know about concept drift - a survey on monitoring in evolving environments. Part A: detecting concept drift. Front Artif Intell. 2024;7:1330257. doi:10.3389/frai.2024.1330257</w:t>
      </w:r>
    </w:p>
    <w:p w:rsidR="00000000" w:rsidDel="00000000" w:rsidP="00000000" w:rsidRDefault="00000000" w:rsidRPr="00000000" w14:paraId="00000013">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u w:val="none"/>
        </w:rPr>
      </w:pPr>
      <w:r w:rsidDel="00000000" w:rsidR="00000000" w:rsidRPr="00000000">
        <w:rPr>
          <w:rFonts w:ascii="Avenir" w:cs="Avenir" w:eastAsia="Avenir" w:hAnsi="Avenir"/>
          <w:sz w:val="14"/>
          <w:szCs w:val="14"/>
          <w:rtl w:val="0"/>
        </w:rPr>
        <w:t xml:space="preserve">European Telecommunications Standards Institute. </w:t>
      </w:r>
      <w:r w:rsidDel="00000000" w:rsidR="00000000" w:rsidRPr="00000000">
        <w:rPr>
          <w:rFonts w:ascii="Avenir" w:cs="Avenir" w:eastAsia="Avenir" w:hAnsi="Avenir"/>
          <w:i w:val="1"/>
          <w:iCs w:val="1"/>
          <w:sz w:val="14"/>
          <w:szCs w:val="14"/>
          <w:rtl w:val="0"/>
        </w:rPr>
        <w:t xml:space="preserve">ETSI TS 104 008 V1.1.1 (2026-01): Continuous Auditing-Based Conformity Assessment for AI-enabled systems</w:t>
      </w:r>
      <w:r w:rsidDel="00000000" w:rsidR="00000000" w:rsidRPr="00000000">
        <w:rPr>
          <w:rFonts w:ascii="Avenir" w:cs="Avenir" w:eastAsia="Avenir" w:hAnsi="Avenir"/>
          <w:sz w:val="14"/>
          <w:szCs w:val="14"/>
          <w:rtl w:val="0"/>
        </w:rPr>
        <w:t xml:space="preserve">. Sophia Antipolis, France: ETSI; 2026. Available from: ETSI. Accessed on 31 March 2026, https://www.etsi.org/deliver/etsi_ts/104000_104099/104008/01.01.01_60/ts_104008v010101p.pdf</w:t>
      </w:r>
      <w:r w:rsidDel="00000000" w:rsidR="00000000" w:rsidRPr="00000000">
        <w:rPr>
          <w:rtl w:val="0"/>
        </w:rPr>
      </w:r>
    </w:p>
    <w:p w:rsidR="00000000" w:rsidDel="00000000" w:rsidP="00000000" w:rsidRDefault="00000000" w:rsidRPr="00000000" w14:paraId="00000014">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Beer JM, Fisk AD, Rogers WA. Toward a framework for levels of robot autonomy in human-robot interaction. J Hum Robot Interact. 2014;3(2):74. doi:10.5898/JHRI.3.2.Beer</w:t>
      </w:r>
    </w:p>
    <w:p w:rsidR="00000000" w:rsidDel="00000000" w:rsidP="00000000" w:rsidRDefault="00000000" w:rsidRPr="00000000" w14:paraId="00000015">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u w:val="none"/>
        </w:rPr>
      </w:pPr>
      <w:r w:rsidDel="00000000" w:rsidR="00000000" w:rsidRPr="00000000">
        <w:rPr>
          <w:rFonts w:ascii="Avenir" w:cs="Avenir" w:eastAsia="Avenir" w:hAnsi="Avenir"/>
          <w:sz w:val="14"/>
          <w:szCs w:val="14"/>
          <w:rtl w:val="0"/>
        </w:rPr>
        <w:t xml:space="preserve">Sharkawy AN. Human-robot interaction: applications. arXiv. 2021;2102:00928. doi:10.48550/arXiv.2102.00928 </w:t>
      </w:r>
    </w:p>
    <w:p w:rsidR="00000000" w:rsidDel="00000000" w:rsidP="00000000" w:rsidRDefault="00000000" w:rsidRPr="00000000" w14:paraId="00000016">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240" w:before="0" w:beforeAutospacing="0" w:line="240" w:lineRule="auto"/>
        <w:ind w:left="720" w:hanging="360"/>
        <w:rPr>
          <w:rFonts w:ascii="Avenir" w:cs="Avenir" w:eastAsia="Avenir" w:hAnsi="Avenir"/>
          <w:sz w:val="14"/>
          <w:szCs w:val="14"/>
          <w:u w:val="none"/>
        </w:rPr>
      </w:pPr>
      <w:r w:rsidDel="00000000" w:rsidR="00000000" w:rsidRPr="00000000">
        <w:rPr>
          <w:rFonts w:ascii="Avenir" w:cs="Avenir" w:eastAsia="Avenir" w:hAnsi="Avenir"/>
          <w:sz w:val="14"/>
          <w:szCs w:val="14"/>
          <w:rtl w:val="0"/>
        </w:rPr>
        <w:t xml:space="preserve">Hoerner L, Moryson R, Wehking KH, Röcker C. Using tacit expert knowledge to support shop-floor operators through a knowledge-based assistance system. </w:t>
      </w:r>
      <w:r w:rsidDel="00000000" w:rsidR="00000000" w:rsidRPr="00000000">
        <w:rPr>
          <w:rFonts w:ascii="Avenir" w:cs="Avenir" w:eastAsia="Avenir" w:hAnsi="Avenir"/>
          <w:i w:val="1"/>
          <w:iCs w:val="1"/>
          <w:sz w:val="14"/>
          <w:szCs w:val="14"/>
          <w:rtl w:val="0"/>
        </w:rPr>
        <w:t xml:space="preserve">Comput Support Coop Work</w:t>
      </w:r>
      <w:r w:rsidDel="00000000" w:rsidR="00000000" w:rsidRPr="00000000">
        <w:rPr>
          <w:rFonts w:ascii="Avenir" w:cs="Avenir" w:eastAsia="Avenir" w:hAnsi="Avenir"/>
          <w:sz w:val="14"/>
          <w:szCs w:val="14"/>
          <w:rtl w:val="0"/>
        </w:rPr>
        <w:t xml:space="preserve">. 2023;32:1019-1060. doi:10.1007/s10606-022-09445-4. </w:t>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ind w:left="720" w:firstLine="0"/>
        <w:rPr>
          <w:rFonts w:ascii="Avenir" w:cs="Avenir" w:eastAsia="Avenir" w:hAnsi="Avenir"/>
          <w:sz w:val="14"/>
          <w:szCs w:val="14"/>
        </w:rPr>
      </w:pPr>
      <w:r w:rsidDel="00000000" w:rsidR="00000000" w:rsidRPr="00000000">
        <w:rPr>
          <w:rtl w:val="0"/>
        </w:rPr>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ind w:left="0" w:firstLine="0"/>
        <w:rPr>
          <w:rFonts w:ascii="Avenir" w:cs="Avenir" w:eastAsia="Avenir" w:hAnsi="Avenir"/>
          <w:sz w:val="14"/>
          <w:szCs w:val="14"/>
        </w:rPr>
      </w:pPr>
      <w:r w:rsidDel="00000000" w:rsidR="00000000" w:rsidRPr="00000000">
        <w:rPr>
          <w:rtl w:val="0"/>
        </w:rPr>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press.siemens.com/global/en/pressrelease/siemens-introduces-ai-agents-industrial-automation" TargetMode="External"/><Relationship Id="rId7" Type="http://schemas.openxmlformats.org/officeDocument/2006/relationships/hyperlink" Target="https://press.siemens.com/global/en/pressrelease/siemens-introduces-ai-agents-industrial-automation"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