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Fonts w:ascii="Avenir" w:cs="Avenir" w:eastAsia="Avenir" w:hAnsi="Avenir"/>
          <w:b w:val="1"/>
          <w:bCs w:val="1"/>
          <w:color w:val="5b9bd5"/>
          <w:sz w:val="24"/>
          <w:szCs w:val="24"/>
          <w:rtl w:val="0"/>
        </w:rPr>
        <w:t xml:space="preserve">HIGH-LEVEL MULTIMODAL DATA FUSION </w:t>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sz w:val="18"/>
          <w:szCs w:val="18"/>
        </w:rPr>
      </w:pPr>
      <w:r w:rsidDel="00000000" w:rsidR="00000000" w:rsidRPr="00000000">
        <w:rPr>
          <w:rFonts w:ascii="Avenir" w:cs="Avenir" w:eastAsia="Avenir" w:hAnsi="Avenir"/>
          <w:sz w:val="18"/>
          <w:szCs w:val="18"/>
          <w:rtl w:val="0"/>
        </w:rPr>
        <w:t xml:space="preserve">Integrating Multimodal Industrial Data Flows into Unified Frameworks</w:t>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sz w:val="15"/>
          <w:szCs w:val="15"/>
        </w:rPr>
      </w:pPr>
      <w:r w:rsidDel="00000000" w:rsidR="00000000" w:rsidRPr="00000000">
        <w:rPr>
          <w:rtl w:val="0"/>
        </w:rPr>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sz w:val="15"/>
          <w:szCs w:val="15"/>
        </w:rPr>
      </w:pPr>
      <w:r w:rsidDel="00000000" w:rsidR="00000000" w:rsidRPr="00000000">
        <w:rPr>
          <w:rFonts w:ascii="Avenir" w:cs="Avenir" w:eastAsia="Avenir" w:hAnsi="Avenir"/>
          <w:sz w:val="15"/>
          <w:szCs w:val="15"/>
          <w:rtl w:val="0"/>
        </w:rPr>
        <w:t xml:space="preserve">Modern industrial environments generate vast multimodal data, ranging from time-series sensor feeds and machine vision outputs to maintenance logs and expert knowledge [1]. Although Industry 4.0 has enabled the coexistence of these heterogeneous streams, cross-modal data fusion remains largely underexploited [2]. Traditional industrial systems process each data modality in isolation, producing fragmented workflows that preclude the discovery of cross-modal relationships [3]. Consequently, a significant share of data available to enterprises goes unleveraged, with fragmented modalities and incompatible formats among the primary barriers to extraction [3].</w:t>
      </w:r>
    </w:p>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sz w:val="15"/>
          <w:szCs w:val="15"/>
        </w:rPr>
      </w:pPr>
      <w:r w:rsidDel="00000000" w:rsidR="00000000" w:rsidRPr="00000000">
        <w:rPr>
          <w:rFonts w:ascii="Avenir" w:cs="Avenir" w:eastAsia="Avenir" w:hAnsi="Avenir"/>
          <w:sz w:val="15"/>
          <w:szCs w:val="15"/>
          <w:rtl w:val="0"/>
        </w:rPr>
        <w:t xml:space="preserve">The central opportunity is to build a production-ready harmonization layer as shared industrial infrastructure, integrating sensor streams, vision data, and unstructured domain knowledge to enable closed-loop AI process orchestration [5]. </w:t>
      </w:r>
      <w:r w:rsidDel="00000000" w:rsidR="00000000" w:rsidRPr="00000000">
        <w:rPr>
          <w:rFonts w:ascii="Avenir" w:cs="Avenir" w:eastAsia="Avenir" w:hAnsi="Avenir"/>
          <w:sz w:val="15"/>
          <w:szCs w:val="15"/>
          <w:rtl w:val="0"/>
        </w:rPr>
        <w:t xml:space="preserve">Manufacturers deploying integrated AI systems across production operations report productivity gains of two to three times alongside significant reductions in defects and energy consumption, underscoring the commercial imperative for a unified data infrastructure</w:t>
      </w:r>
      <w:r w:rsidDel="00000000" w:rsidR="00000000" w:rsidRPr="00000000">
        <w:rPr>
          <w:rFonts w:ascii="Avenir" w:cs="Avenir" w:eastAsia="Avenir" w:hAnsi="Avenir"/>
          <w:sz w:val="15"/>
          <w:szCs w:val="15"/>
          <w:rtl w:val="0"/>
        </w:rPr>
        <w:t xml:space="preserve"> [6]. This unified middleware layer would unlock cross-modal pattern recognition, real-time decision support, and continuous process optimization within integrated manufacturing environments [5].</w:t>
      </w:r>
    </w:p>
    <w:p w:rsidR="00000000" w:rsidDel="00000000" w:rsidP="00000000" w:rsidRDefault="00000000" w:rsidRPr="00000000" w14:paraId="00000006">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sz w:val="15"/>
          <w:szCs w:val="15"/>
        </w:rPr>
      </w:pPr>
      <w:r w:rsidDel="00000000" w:rsidR="00000000" w:rsidRPr="00000000">
        <w:rPr>
          <w:rtl w:val="0"/>
        </w:rPr>
      </w:r>
    </w:p>
    <w:p w:rsidR="00000000" w:rsidDel="00000000" w:rsidP="00000000" w:rsidRDefault="00000000" w:rsidRPr="00000000" w14:paraId="00000007">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sz w:val="15"/>
          <w:szCs w:val="15"/>
        </w:rPr>
      </w:pPr>
      <w:commentRangeStart w:id="0"/>
      <w:commentRangeStart w:id="1"/>
      <w:commentRangeStart w:id="2"/>
      <w:r w:rsidDel="00000000" w:rsidR="00000000" w:rsidRPr="00000000">
        <w:rPr>
          <w:rFonts w:ascii="Avenir" w:cs="Avenir" w:eastAsia="Avenir" w:hAnsi="Avenir"/>
          <w:sz w:val="15"/>
          <w:szCs w:val="15"/>
          <w:rtl w:val="0"/>
        </w:rPr>
        <w:t xml:space="preserve">“Automate the ordinary, so humans can do the extraordinary” - Roman Hölzl, CEO, Robco</w:t>
      </w:r>
      <w:commentRangeEnd w:id="0"/>
      <w:r w:rsidDel="00000000" w:rsidR="00000000" w:rsidRPr="00000000">
        <w:commentReference w:id="0"/>
      </w:r>
      <w:commentRangeEnd w:id="1"/>
      <w:r w:rsidDel="00000000" w:rsidR="00000000" w:rsidRPr="00000000">
        <w:commentReference w:id="1"/>
      </w:r>
      <w:commentRangeEnd w:id="2"/>
      <w:r w:rsidDel="00000000" w:rsidR="00000000" w:rsidRPr="00000000">
        <w:commentReference w:id="2"/>
      </w:r>
      <w:r w:rsidDel="00000000" w:rsidR="00000000" w:rsidRPr="00000000">
        <w:rPr>
          <w:rtl w:val="0"/>
        </w:rPr>
      </w:r>
    </w:p>
    <w:p w:rsidR="00000000" w:rsidDel="00000000" w:rsidP="00000000" w:rsidRDefault="00000000" w:rsidRPr="00000000" w14:paraId="00000008">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sz w:val="15"/>
          <w:szCs w:val="15"/>
        </w:rPr>
      </w:pPr>
      <w:r w:rsidDel="00000000" w:rsidR="00000000" w:rsidRPr="00000000">
        <w:rPr>
          <w:rtl w:val="0"/>
        </w:rPr>
      </w:r>
    </w:p>
    <w:p w:rsidR="00000000" w:rsidDel="00000000" w:rsidP="00000000" w:rsidRDefault="00000000" w:rsidRPr="00000000" w14:paraId="00000009">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sz w:val="15"/>
          <w:szCs w:val="15"/>
        </w:rPr>
      </w:pPr>
      <w:r w:rsidDel="00000000" w:rsidR="00000000" w:rsidRPr="00000000">
        <w:rPr>
          <w:rFonts w:ascii="Avenir" w:cs="Avenir" w:eastAsia="Avenir" w:hAnsi="Avenir"/>
          <w:sz w:val="15"/>
          <w:szCs w:val="15"/>
          <w:rtl w:val="0"/>
        </w:rPr>
        <w:t xml:space="preserve">References:</w:t>
      </w:r>
    </w:p>
    <w:p w:rsidR="00000000" w:rsidDel="00000000" w:rsidP="00000000" w:rsidRDefault="00000000" w:rsidRPr="00000000" w14:paraId="0000000A">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sz w:val="15"/>
          <w:szCs w:val="15"/>
        </w:rPr>
      </w:pPr>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720" w:right="0" w:hanging="360"/>
        <w:jc w:val="both"/>
        <w:rPr>
          <w:rFonts w:ascii="Avenir" w:cs="Avenir" w:eastAsia="Avenir" w:hAnsi="Avenir"/>
          <w:sz w:val="15"/>
          <w:szCs w:val="15"/>
          <w:u w:val="none"/>
        </w:rPr>
      </w:pPr>
      <w:r w:rsidDel="00000000" w:rsidR="00000000" w:rsidRPr="00000000">
        <w:rPr>
          <w:rFonts w:ascii="Avenir" w:cs="Avenir" w:eastAsia="Avenir" w:hAnsi="Avenir"/>
          <w:sz w:val="15"/>
          <w:szCs w:val="15"/>
          <w:rtl w:val="0"/>
        </w:rPr>
        <w:t xml:space="preserve">Gaw N, Yousefi S, Gahrooei MR. Multimodal data fusion for systems improvement: a review. </w:t>
      </w:r>
      <w:r w:rsidDel="00000000" w:rsidR="00000000" w:rsidRPr="00000000">
        <w:rPr>
          <w:rFonts w:ascii="Avenir" w:cs="Avenir" w:eastAsia="Avenir" w:hAnsi="Avenir"/>
          <w:sz w:val="15"/>
          <w:szCs w:val="15"/>
          <w:rtl w:val="0"/>
        </w:rPr>
        <w:t xml:space="preserve">IISE Transactions. </w:t>
      </w:r>
      <w:r w:rsidDel="00000000" w:rsidR="00000000" w:rsidRPr="00000000">
        <w:rPr>
          <w:rFonts w:ascii="Avenir" w:cs="Avenir" w:eastAsia="Avenir" w:hAnsi="Avenir"/>
          <w:sz w:val="15"/>
          <w:szCs w:val="15"/>
          <w:rtl w:val="0"/>
        </w:rPr>
        <w:t xml:space="preserve">2022;54(11):1098-1116. doi:10.1080/24725854.2021.1987593</w:t>
      </w:r>
    </w:p>
    <w:p w:rsidR="00000000" w:rsidDel="00000000" w:rsidP="00000000" w:rsidRDefault="00000000" w:rsidRPr="00000000" w14:paraId="0000000C">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720" w:right="0" w:hanging="360"/>
        <w:jc w:val="both"/>
        <w:rPr>
          <w:rFonts w:ascii="Avenir" w:cs="Avenir" w:eastAsia="Avenir" w:hAnsi="Avenir"/>
          <w:sz w:val="15"/>
          <w:szCs w:val="15"/>
          <w:u w:val="none"/>
        </w:rPr>
      </w:pPr>
      <w:r w:rsidDel="00000000" w:rsidR="00000000" w:rsidRPr="00000000">
        <w:rPr>
          <w:rFonts w:ascii="Avenir" w:cs="Avenir" w:eastAsia="Avenir" w:hAnsi="Avenir"/>
          <w:sz w:val="15"/>
          <w:szCs w:val="15"/>
          <w:rtl w:val="0"/>
        </w:rPr>
        <w:t xml:space="preserve">Kolokas N, Vafeiadis T, Ioannidis D, Tzovaras D. A review of multisensor data fusion solutions in smart manufacturing: systems and trends. </w:t>
      </w:r>
      <w:r w:rsidDel="00000000" w:rsidR="00000000" w:rsidRPr="00000000">
        <w:rPr>
          <w:rFonts w:ascii="Avenir" w:cs="Avenir" w:eastAsia="Avenir" w:hAnsi="Avenir"/>
          <w:sz w:val="15"/>
          <w:szCs w:val="15"/>
          <w:rtl w:val="0"/>
        </w:rPr>
        <w:t xml:space="preserve">Sensors.</w:t>
      </w:r>
      <w:r w:rsidDel="00000000" w:rsidR="00000000" w:rsidRPr="00000000">
        <w:rPr>
          <w:rFonts w:ascii="Avenir" w:cs="Avenir" w:eastAsia="Avenir" w:hAnsi="Avenir"/>
          <w:sz w:val="15"/>
          <w:szCs w:val="15"/>
          <w:rtl w:val="0"/>
        </w:rPr>
        <w:t xml:space="preserve"> 2022;22(5):1734. doi:10.3390/s22051734</w:t>
      </w:r>
    </w:p>
    <w:p w:rsidR="00000000" w:rsidDel="00000000" w:rsidP="00000000" w:rsidRDefault="00000000" w:rsidRPr="00000000" w14:paraId="0000000D">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720" w:right="0" w:hanging="360"/>
        <w:jc w:val="both"/>
        <w:rPr>
          <w:rFonts w:ascii="Avenir" w:cs="Avenir" w:eastAsia="Avenir" w:hAnsi="Avenir"/>
          <w:sz w:val="15"/>
          <w:szCs w:val="15"/>
          <w:u w:val="none"/>
        </w:rPr>
      </w:pPr>
      <w:r w:rsidDel="00000000" w:rsidR="00000000" w:rsidRPr="00000000">
        <w:rPr>
          <w:rFonts w:ascii="Avenir" w:cs="Avenir" w:eastAsia="Avenir" w:hAnsi="Avenir"/>
          <w:sz w:val="15"/>
          <w:szCs w:val="15"/>
          <w:rtl w:val="0"/>
        </w:rPr>
        <w:t xml:space="preserve">Li X, Cheng Y, Møller C, Lee J. Data issues in industrial AI systems: a meta-review and research strategy. </w:t>
      </w:r>
      <w:r w:rsidDel="00000000" w:rsidR="00000000" w:rsidRPr="00000000">
        <w:rPr>
          <w:rFonts w:ascii="Avenir" w:cs="Avenir" w:eastAsia="Avenir" w:hAnsi="Avenir"/>
          <w:sz w:val="15"/>
          <w:szCs w:val="15"/>
          <w:rtl w:val="0"/>
        </w:rPr>
        <w:t xml:space="preserve">Computers in Industry.</w:t>
      </w:r>
      <w:r w:rsidDel="00000000" w:rsidR="00000000" w:rsidRPr="00000000">
        <w:rPr>
          <w:rFonts w:ascii="Avenir" w:cs="Avenir" w:eastAsia="Avenir" w:hAnsi="Avenir"/>
          <w:sz w:val="15"/>
          <w:szCs w:val="15"/>
          <w:rtl w:val="0"/>
        </w:rPr>
        <w:t xml:space="preserve"> 2025;173:104361. doi:10.1016/j.compind.2025.104361</w:t>
      </w:r>
    </w:p>
    <w:p w:rsidR="00000000" w:rsidDel="00000000" w:rsidP="00000000" w:rsidRDefault="00000000" w:rsidRPr="00000000" w14:paraId="0000000E">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720" w:right="0" w:hanging="360"/>
        <w:jc w:val="both"/>
        <w:rPr>
          <w:rFonts w:ascii="Avenir" w:cs="Avenir" w:eastAsia="Avenir" w:hAnsi="Avenir"/>
          <w:sz w:val="15"/>
          <w:szCs w:val="15"/>
          <w:u w:val="none"/>
        </w:rPr>
      </w:pPr>
      <w:r w:rsidDel="00000000" w:rsidR="00000000" w:rsidRPr="00000000">
        <w:rPr>
          <w:rFonts w:ascii="Avenir" w:cs="Avenir" w:eastAsia="Avenir" w:hAnsi="Avenir"/>
          <w:sz w:val="15"/>
          <w:szCs w:val="15"/>
          <w:rtl w:val="0"/>
        </w:rPr>
        <w:t xml:space="preserve">Seagate Technology. </w:t>
      </w:r>
      <w:r w:rsidDel="00000000" w:rsidR="00000000" w:rsidRPr="00000000">
        <w:rPr>
          <w:rFonts w:ascii="Avenir" w:cs="Avenir" w:eastAsia="Avenir" w:hAnsi="Avenir"/>
          <w:sz w:val="15"/>
          <w:szCs w:val="15"/>
          <w:rtl w:val="0"/>
        </w:rPr>
        <w:t xml:space="preserve">Rethink Data: Put More of Your Business Data to Work — From Edge to Cloud.</w:t>
      </w:r>
      <w:r w:rsidDel="00000000" w:rsidR="00000000" w:rsidRPr="00000000">
        <w:rPr>
          <w:rFonts w:ascii="Avenir" w:cs="Avenir" w:eastAsia="Avenir" w:hAnsi="Avenir"/>
          <w:sz w:val="15"/>
          <w:szCs w:val="15"/>
          <w:rtl w:val="0"/>
        </w:rPr>
        <w:t xml:space="preserve"> Seagate Technology; 2020. Accessed March 31, 2026. </w:t>
      </w:r>
      <w:hyperlink r:id="rId7">
        <w:r w:rsidDel="00000000" w:rsidR="00000000" w:rsidRPr="00000000">
          <w:rPr>
            <w:rFonts w:ascii="Avenir" w:cs="Avenir" w:eastAsia="Avenir" w:hAnsi="Avenir"/>
            <w:sz w:val="15"/>
            <w:szCs w:val="15"/>
            <w:rtl w:val="0"/>
          </w:rPr>
          <w:t xml:space="preserve">https://www.seagate.com/content/dam/seagate/migrated-assets/www-content/our-story/rethink-data/files/Rethink_Data_Report_2020.pdf</w:t>
        </w:r>
      </w:hyperlink>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720" w:right="0" w:hanging="360"/>
        <w:jc w:val="both"/>
        <w:rPr>
          <w:rFonts w:ascii="Avenir" w:cs="Avenir" w:eastAsia="Avenir" w:hAnsi="Avenir"/>
          <w:sz w:val="15"/>
          <w:szCs w:val="15"/>
          <w:u w:val="none"/>
        </w:rPr>
      </w:pPr>
      <w:r w:rsidDel="00000000" w:rsidR="00000000" w:rsidRPr="00000000">
        <w:rPr>
          <w:rFonts w:ascii="Avenir" w:cs="Avenir" w:eastAsia="Avenir" w:hAnsi="Avenir"/>
          <w:sz w:val="15"/>
          <w:szCs w:val="15"/>
          <w:rtl w:val="0"/>
        </w:rPr>
        <w:t xml:space="preserve">Wang T, Zhang B, Jiang D, Li D. A multimodal large language model framework for intelligent perception and decision-making in smart manufacturing. </w:t>
      </w:r>
      <w:r w:rsidDel="00000000" w:rsidR="00000000" w:rsidRPr="00000000">
        <w:rPr>
          <w:rFonts w:ascii="Avenir" w:cs="Avenir" w:eastAsia="Avenir" w:hAnsi="Avenir"/>
          <w:sz w:val="15"/>
          <w:szCs w:val="15"/>
          <w:rtl w:val="0"/>
        </w:rPr>
        <w:t xml:space="preserve">Sensors.</w:t>
      </w:r>
      <w:r w:rsidDel="00000000" w:rsidR="00000000" w:rsidRPr="00000000">
        <w:rPr>
          <w:rFonts w:ascii="Avenir" w:cs="Avenir" w:eastAsia="Avenir" w:hAnsi="Avenir"/>
          <w:sz w:val="15"/>
          <w:szCs w:val="15"/>
          <w:rtl w:val="0"/>
        </w:rPr>
        <w:t xml:space="preserve"> 2025;25(10):3072. doi:10.3390/s25103072</w:t>
      </w:r>
    </w:p>
    <w:p w:rsidR="00000000" w:rsidDel="00000000" w:rsidP="00000000" w:rsidRDefault="00000000" w:rsidRPr="00000000" w14:paraId="00000010">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720" w:right="0" w:hanging="360"/>
        <w:jc w:val="both"/>
        <w:rPr>
          <w:rFonts w:ascii="Avenir" w:cs="Avenir" w:eastAsia="Avenir" w:hAnsi="Avenir"/>
          <w:sz w:val="15"/>
          <w:szCs w:val="15"/>
          <w:u w:val="none"/>
        </w:rPr>
      </w:pPr>
      <w:r w:rsidDel="00000000" w:rsidR="00000000" w:rsidRPr="00000000">
        <w:rPr>
          <w:rFonts w:ascii="Avenir" w:cs="Avenir" w:eastAsia="Avenir" w:hAnsi="Avenir"/>
          <w:sz w:val="15"/>
          <w:szCs w:val="15"/>
          <w:rtl w:val="0"/>
        </w:rPr>
        <w:t xml:space="preserve">World Economic Forum. </w:t>
      </w:r>
      <w:r w:rsidDel="00000000" w:rsidR="00000000" w:rsidRPr="00000000">
        <w:rPr>
          <w:rFonts w:ascii="Avenir" w:cs="Avenir" w:eastAsia="Avenir" w:hAnsi="Avenir"/>
          <w:sz w:val="15"/>
          <w:szCs w:val="15"/>
          <w:rtl w:val="0"/>
        </w:rPr>
        <w:t xml:space="preserve">Global Lighthouse Network: Adopting AI at Speed and Scale.</w:t>
      </w:r>
      <w:r w:rsidDel="00000000" w:rsidR="00000000" w:rsidRPr="00000000">
        <w:rPr>
          <w:rFonts w:ascii="Avenir" w:cs="Avenir" w:eastAsia="Avenir" w:hAnsi="Avenir"/>
          <w:sz w:val="15"/>
          <w:szCs w:val="15"/>
          <w:rtl w:val="0"/>
        </w:rPr>
        <w:t xml:space="preserve"> World Economic Forum; 2023. Accessed March 31  2026. </w:t>
      </w:r>
      <w:hyperlink r:id="rId8">
        <w:r w:rsidDel="00000000" w:rsidR="00000000" w:rsidRPr="00000000">
          <w:rPr>
            <w:rFonts w:ascii="Avenir" w:cs="Avenir" w:eastAsia="Avenir" w:hAnsi="Avenir"/>
            <w:sz w:val="15"/>
            <w:szCs w:val="15"/>
            <w:rtl w:val="0"/>
          </w:rPr>
          <w:t xml:space="preserve">https://www3.weforum.org/docs/WEF_Global_Lighthouse_Network_Adopting_AI_at_Speed_and_Scale_2023.pdf</w:t>
        </w:r>
      </w:hyperlink>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Avenir" w:cs="Avenir" w:eastAsia="Avenir" w:hAnsi="Avenir"/>
          <w:sz w:val="15"/>
          <w:szCs w:val="15"/>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Avenir" w:cs="Avenir" w:eastAsia="Avenir" w:hAnsi="Avenir"/>
          <w:sz w:val="15"/>
          <w:szCs w:val="15"/>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Avenir" w:cs="Avenir" w:eastAsia="Avenir" w:hAnsi="Avenir"/>
          <w:sz w:val="15"/>
          <w:szCs w:val="15"/>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Avenir" w:cs="Avenir" w:eastAsia="Avenir" w:hAnsi="Avenir"/>
          <w:sz w:val="15"/>
          <w:szCs w:val="15"/>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Avenir" w:cs="Avenir" w:eastAsia="Avenir" w:hAnsi="Avenir"/>
          <w:sz w:val="15"/>
          <w:szCs w:val="15"/>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Avenir" w:cs="Avenir" w:eastAsia="Avenir" w:hAnsi="Avenir"/>
          <w:sz w:val="15"/>
          <w:szCs w:val="15"/>
        </w:rPr>
      </w:pPr>
      <w:r w:rsidDel="00000000" w:rsidR="00000000" w:rsidRPr="00000000">
        <w:rPr>
          <w:rtl w:val="0"/>
        </w:rPr>
      </w:r>
    </w:p>
    <w:sectPr>
      <w:pgSz w:h="15840" w:w="12240" w:orient="portrait"/>
      <w:pgMar w:bottom="1440" w:top="1440"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Alma Aurelia Bonte" w:id="0" w:date="2026-03-31T15:27:06Z">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@paulina.moehrle@cdtm.com can we use this? did the approve or do we not need to ask cos its literally their motto/philosophy</w:t>
      </w:r>
    </w:p>
  </w:comment>
  <w:comment w:author="Paulina Möhrle" w:id="1" w:date="2026-03-31T15:46:53Z">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 would still ask, but would think it's ok to use it</w:t>
      </w:r>
    </w:p>
  </w:comment>
  <w:comment w:author="Ali Karakullukcu" w:id="2" w:date="2026-03-31T17:20:13Z">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 we want to use this quote for this trend. It is related to automation, but it is too broad for  multimodal data fusion. Still, If we don't have any quotes let's go with it.</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https://www.seagate.com/content/dam/seagate/migrated-assets/www-content/our-story/rethink-data/files/Rethink_Data_Report_2020.pdf" TargetMode="External"/><Relationship Id="rId8" Type="http://schemas.openxmlformats.org/officeDocument/2006/relationships/hyperlink" Target="https://www3.weforum.org/docs/WEF_Global_Lighthouse_Network_Adopting_AI_at_Speed_and_Scale_2023.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