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color w:val="5b9bd5"/>
          <w:sz w:val="24"/>
          <w:szCs w:val="24"/>
        </w:rPr>
      </w:pPr>
      <w:r w:rsidDel="00000000" w:rsidR="00000000" w:rsidRPr="00000000">
        <w:rPr>
          <w:b w:val="1"/>
          <w:bCs w:val="1"/>
          <w:color w:val="5b9bd5"/>
          <w:sz w:val="24"/>
          <w:szCs w:val="24"/>
          <w:rtl w:val="0"/>
        </w:rPr>
        <w:t xml:space="preserve">BRIDGING MACHINE DATA AND INSURANCE CLAIMS</w:t>
      </w:r>
      <w:r w:rsidDel="00000000" w:rsidR="00000000" w:rsidRPr="00000000">
        <w:rPr>
          <w:rtl w:val="0"/>
        </w:rPr>
      </w:r>
    </w:p>
    <w:p w:rsidR="00000000" w:rsidDel="00000000" w:rsidP="00000000" w:rsidRDefault="00000000" w:rsidRPr="00000000" w14:paraId="00000002">
      <w:pPr>
        <w:spacing w:line="240" w:lineRule="auto"/>
        <w:rPr>
          <w:color w:val="000000"/>
          <w:sz w:val="18"/>
          <w:szCs w:val="18"/>
        </w:rPr>
      </w:pPr>
      <w:r w:rsidDel="00000000" w:rsidR="00000000" w:rsidRPr="00000000">
        <w:rPr>
          <w:color w:val="000000"/>
          <w:sz w:val="18"/>
          <w:szCs w:val="18"/>
          <w:rtl w:val="0"/>
        </w:rPr>
        <w:t xml:space="preserve">Standardizing machine-generated data for faster, fairer coverage decisions</w:t>
      </w:r>
    </w:p>
    <w:p w:rsidR="00000000" w:rsidDel="00000000" w:rsidP="00000000" w:rsidRDefault="00000000" w:rsidRPr="00000000" w14:paraId="00000003">
      <w:pPr>
        <w:spacing w:line="240" w:lineRule="auto"/>
        <w:rPr/>
      </w:pPr>
      <w:r w:rsidDel="00000000" w:rsidR="00000000" w:rsidRPr="00000000">
        <w:rPr>
          <w:rtl w:val="0"/>
        </w:rPr>
      </w:r>
    </w:p>
    <w:p w:rsidR="00000000" w:rsidDel="00000000" w:rsidP="00000000" w:rsidRDefault="00000000" w:rsidRPr="00000000" w14:paraId="00000004">
      <w:pPr>
        <w:spacing w:line="240" w:lineRule="auto"/>
        <w:rPr>
          <w:sz w:val="14"/>
          <w:szCs w:val="14"/>
        </w:rPr>
      </w:pPr>
      <w:r w:rsidDel="00000000" w:rsidR="00000000" w:rsidRPr="00000000">
        <w:rPr>
          <w:sz w:val="14"/>
          <w:szCs w:val="14"/>
          <w:rtl w:val="0"/>
        </w:rPr>
        <w:t xml:space="preserve">Machine-generated operational data in industrial settings, capturing vibrations, thermal shifts, and maintenance events in real time, is increasing in volume [1]. Yet, insurance claim resolution remains largely dependent on manual processes [12]</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05">
      <w:pPr>
        <w:spacing w:line="240" w:lineRule="auto"/>
        <w:rPr>
          <w:sz w:val="14"/>
          <w:szCs w:val="14"/>
        </w:rPr>
      </w:pPr>
      <w:r w:rsidDel="00000000" w:rsidR="00000000" w:rsidRPr="00000000">
        <w:rPr>
          <w:sz w:val="14"/>
          <w:szCs w:val="14"/>
          <w:rtl w:val="0"/>
        </w:rPr>
        <w:t xml:space="preserve">When a machine failure occurs</w:t>
      </w:r>
      <w:r w:rsidDel="00000000" w:rsidR="00000000" w:rsidRPr="00000000">
        <w:rPr>
          <w:sz w:val="14"/>
          <w:szCs w:val="14"/>
          <w:rtl w:val="0"/>
        </w:rPr>
        <w:t xml:space="preserve">,</w:t>
      </w:r>
      <w:r w:rsidDel="00000000" w:rsidR="00000000" w:rsidRPr="00000000">
        <w:rPr>
          <w:sz w:val="14"/>
          <w:szCs w:val="14"/>
          <w:rtl w:val="0"/>
        </w:rPr>
        <w:t xml:space="preserve"> the coverage decision rests on multiple factors: the cause of the failure, whether maintenance obligations were met, and whether the event qualifies as sudden and unforeseen under the applicable policy terms</w:t>
      </w:r>
      <w:r w:rsidDel="00000000" w:rsidR="00000000" w:rsidRPr="00000000">
        <w:rPr>
          <w:sz w:val="14"/>
          <w:szCs w:val="14"/>
          <w:rtl w:val="0"/>
        </w:rPr>
        <w:t xml:space="preserve"> [1,2]. Traditionally, loss adjusters respond by scheduling site visits, requesting documentation, and commissioning forensic engineers for ambiguous cases [1,4]. </w:t>
      </w:r>
      <w:r w:rsidDel="00000000" w:rsidR="00000000" w:rsidRPr="00000000">
        <w:rPr>
          <w:sz w:val="14"/>
          <w:szCs w:val="14"/>
          <w:rtl w:val="0"/>
        </w:rPr>
        <w:t xml:space="preserve">A primary bottleneck in this process is not a lack of data but a lack of usable evidence. Manufacturers rarely possess the structured, reliable documentation that adjusters require for a decision [10]. Predictive maintenance platforms already collect much of the underlying information, and with appropriate interpretation and formatting, this data could answer the core questions an adjuster is concerned with [5,6,7,11]. Yet, before it can serve as evidence, raw sensor output must be translated into coherent failure narratives, timestamped, and structured in an auditable format [8,9].</w:t>
      </w:r>
      <w:r w:rsidDel="00000000" w:rsidR="00000000" w:rsidRPr="00000000">
        <w:rPr>
          <w:rtl w:val="0"/>
        </w:rPr>
      </w:r>
    </w:p>
    <w:p w:rsidR="00000000" w:rsidDel="00000000" w:rsidP="00000000" w:rsidRDefault="00000000" w:rsidRPr="00000000" w14:paraId="00000006">
      <w:pPr>
        <w:spacing w:line="240" w:lineRule="auto"/>
        <w:rPr>
          <w:sz w:val="14"/>
          <w:szCs w:val="14"/>
        </w:rPr>
      </w:pPr>
      <w:r w:rsidDel="00000000" w:rsidR="00000000" w:rsidRPr="00000000">
        <w:rPr>
          <w:sz w:val="14"/>
          <w:szCs w:val="14"/>
          <w:rtl w:val="0"/>
        </w:rPr>
        <w:t xml:space="preserve">This gap presents a concrete opportunity for a manufacturer-side middleware product that packages sensor and maintenance data into structured evidence aligned with insurer requirements, thus compressing the timeline from failure to claim resolution.</w:t>
      </w:r>
    </w:p>
    <w:p w:rsidR="00000000" w:rsidDel="00000000" w:rsidP="00000000" w:rsidRDefault="00000000" w:rsidRPr="00000000" w14:paraId="00000007">
      <w:pPr>
        <w:spacing w:line="240" w:lineRule="auto"/>
        <w:rPr>
          <w:sz w:val="14"/>
          <w:szCs w:val="14"/>
        </w:rPr>
      </w:pPr>
      <w:r w:rsidDel="00000000" w:rsidR="00000000" w:rsidRPr="00000000">
        <w:rPr>
          <w:rtl w:val="0"/>
        </w:rPr>
      </w:r>
    </w:p>
    <w:p w:rsidR="00000000" w:rsidDel="00000000" w:rsidP="00000000" w:rsidRDefault="00000000" w:rsidRPr="00000000" w14:paraId="00000008">
      <w:pPr>
        <w:spacing w:line="240" w:lineRule="auto"/>
        <w:rPr>
          <w:sz w:val="14"/>
          <w:szCs w:val="14"/>
        </w:rPr>
      </w:pPr>
      <w:r w:rsidDel="00000000" w:rsidR="00000000" w:rsidRPr="00000000">
        <w:rPr>
          <w:sz w:val="14"/>
          <w:szCs w:val="14"/>
          <w:rtl w:val="0"/>
        </w:rPr>
        <w:t xml:space="preserve">“Within seconds, industrial production generates vast amounts of data about processes and the products. Analyzing this data holds enormous potential for companies, both in terms of efficiency and cost. Everyone is sitting on data, but so far they can’t use it.” - Nathan Gruber, Founder of Manex AI</w:t>
      </w:r>
    </w:p>
    <w:p w:rsidR="00000000" w:rsidDel="00000000" w:rsidP="00000000" w:rsidRDefault="00000000" w:rsidRPr="00000000" w14:paraId="00000009">
      <w:pPr>
        <w:spacing w:line="240" w:lineRule="auto"/>
        <w:rPr>
          <w:sz w:val="14"/>
          <w:szCs w:val="14"/>
        </w:rPr>
      </w:pPr>
      <w:r w:rsidDel="00000000" w:rsidR="00000000" w:rsidRPr="00000000">
        <w:rPr>
          <w:rtl w:val="0"/>
        </w:rPr>
      </w:r>
    </w:p>
    <w:p w:rsidR="00000000" w:rsidDel="00000000" w:rsidP="00000000" w:rsidRDefault="00000000" w:rsidRPr="00000000" w14:paraId="0000000A">
      <w:pPr>
        <w:spacing w:line="240" w:lineRule="auto"/>
        <w:rPr>
          <w:sz w:val="14"/>
          <w:szCs w:val="14"/>
        </w:rPr>
      </w:pPr>
      <w:r w:rsidDel="00000000" w:rsidR="00000000" w:rsidRPr="00000000">
        <w:rPr>
          <w:sz w:val="14"/>
          <w:szCs w:val="14"/>
          <w:rtl w:val="0"/>
        </w:rPr>
        <w:t xml:space="preserve">References:</w:t>
      </w:r>
      <w:r w:rsidDel="00000000" w:rsidR="00000000" w:rsidRPr="00000000">
        <w:rPr>
          <w:rtl w:val="0"/>
        </w:rPr>
      </w:r>
    </w:p>
    <w:p w:rsidR="00000000" w:rsidDel="00000000" w:rsidP="00000000" w:rsidRDefault="00000000" w:rsidRPr="00000000" w14:paraId="0000000B">
      <w:pPr>
        <w:spacing w:line="240" w:lineRule="auto"/>
        <w:rPr>
          <w:b w:val="1"/>
          <w:bCs w:val="1"/>
          <w:sz w:val="14"/>
          <w:szCs w:val="14"/>
        </w:rPr>
      </w:pPr>
      <w:r w:rsidDel="00000000" w:rsidR="00000000" w:rsidRPr="00000000">
        <w:rPr>
          <w:rtl w:val="0"/>
        </w:rPr>
      </w:r>
    </w:p>
    <w:p w:rsidR="00000000" w:rsidDel="00000000" w:rsidP="00000000" w:rsidRDefault="00000000" w:rsidRPr="00000000" w14:paraId="0000000C">
      <w:pPr>
        <w:numPr>
          <w:ilvl w:val="0"/>
          <w:numId w:val="1"/>
        </w:numPr>
        <w:spacing w:after="40" w:lineRule="auto"/>
        <w:ind w:left="720" w:hanging="360"/>
        <w:jc w:val="left"/>
        <w:rPr>
          <w:sz w:val="14"/>
          <w:szCs w:val="14"/>
        </w:rPr>
      </w:pPr>
      <w:r w:rsidDel="00000000" w:rsidR="00000000" w:rsidRPr="00000000">
        <w:rPr>
          <w:sz w:val="14"/>
          <w:szCs w:val="14"/>
          <w:rtl w:val="0"/>
        </w:rPr>
        <w:t xml:space="preserve">Ernst &amp; Young Global Limited. Five leading questions to support your claims automation journey. EY Norway. Accessed March 31, 2026. </w:t>
      </w:r>
      <w:hyperlink r:id="rId6">
        <w:r w:rsidDel="00000000" w:rsidR="00000000" w:rsidRPr="00000000">
          <w:rPr>
            <w:color w:val="1155cc"/>
            <w:sz w:val="14"/>
            <w:szCs w:val="14"/>
            <w:u w:val="single"/>
            <w:rtl w:val="0"/>
          </w:rPr>
          <w:t xml:space="preserve">https://www.ey.com/en_no/insights/consulting/five-leading-questions-to-support-your-claims-automation-journey</w:t>
        </w:r>
      </w:hyperlink>
      <w:r w:rsidDel="00000000" w:rsidR="00000000" w:rsidRPr="00000000">
        <w:rPr>
          <w:sz w:val="14"/>
          <w:szCs w:val="14"/>
          <w:rtl w:val="0"/>
        </w:rPr>
        <w:t xml:space="preserve"> [13]</w:t>
      </w:r>
    </w:p>
    <w:p w:rsidR="00000000" w:rsidDel="00000000" w:rsidP="00000000" w:rsidRDefault="00000000" w:rsidRPr="00000000" w14:paraId="0000000D">
      <w:pPr>
        <w:numPr>
          <w:ilvl w:val="0"/>
          <w:numId w:val="1"/>
        </w:numPr>
        <w:spacing w:after="40" w:lineRule="auto"/>
        <w:ind w:left="720" w:hanging="360"/>
        <w:jc w:val="left"/>
        <w:rPr>
          <w:sz w:val="14"/>
          <w:szCs w:val="14"/>
        </w:rPr>
      </w:pPr>
      <w:r w:rsidDel="00000000" w:rsidR="00000000" w:rsidRPr="00000000">
        <w:rPr>
          <w:sz w:val="14"/>
          <w:szCs w:val="14"/>
          <w:rtl w:val="0"/>
        </w:rPr>
        <w:t xml:space="preserve">Ucar A, Karakose M, Kırımça N. Artificial intelligence for predictive maintenance applications: key components, trustworthiness, and future trends. </w:t>
      </w:r>
      <w:r w:rsidDel="00000000" w:rsidR="00000000" w:rsidRPr="00000000">
        <w:rPr>
          <w:i w:val="1"/>
          <w:iCs w:val="1"/>
          <w:sz w:val="14"/>
          <w:szCs w:val="14"/>
          <w:rtl w:val="0"/>
        </w:rPr>
        <w:t xml:space="preserve">Appl Sci.</w:t>
      </w:r>
      <w:r w:rsidDel="00000000" w:rsidR="00000000" w:rsidRPr="00000000">
        <w:rPr>
          <w:sz w:val="14"/>
          <w:szCs w:val="14"/>
          <w:rtl w:val="0"/>
        </w:rPr>
        <w:t xml:space="preserve"> 2024;14(2):898. doi:10.3390/app14020898 [1]</w:t>
      </w:r>
    </w:p>
    <w:p w:rsidR="00000000" w:rsidDel="00000000" w:rsidP="00000000" w:rsidRDefault="00000000" w:rsidRPr="00000000" w14:paraId="0000000E">
      <w:pPr>
        <w:numPr>
          <w:ilvl w:val="0"/>
          <w:numId w:val="1"/>
        </w:numPr>
        <w:spacing w:after="40" w:line="240" w:lineRule="auto"/>
        <w:ind w:left="720" w:hanging="360"/>
        <w:jc w:val="left"/>
        <w:rPr>
          <w:sz w:val="14"/>
          <w:szCs w:val="14"/>
        </w:rPr>
      </w:pPr>
      <w:r w:rsidDel="00000000" w:rsidR="00000000" w:rsidRPr="00000000">
        <w:rPr>
          <w:sz w:val="14"/>
          <w:szCs w:val="14"/>
          <w:rtl w:val="0"/>
        </w:rPr>
        <w:t xml:space="preserve">Natesan S. Three common machinery breakdown claims issues. Advanta Global. Published November 23, 2023. Accessed March 19, 2026.</w:t>
      </w:r>
      <w:hyperlink r:id="rId7">
        <w:r w:rsidDel="00000000" w:rsidR="00000000" w:rsidRPr="00000000">
          <w:rPr>
            <w:sz w:val="14"/>
            <w:szCs w:val="14"/>
            <w:rtl w:val="0"/>
          </w:rPr>
          <w:t xml:space="preserve"> </w:t>
        </w:r>
      </w:hyperlink>
      <w:hyperlink r:id="rId8">
        <w:r w:rsidDel="00000000" w:rsidR="00000000" w:rsidRPr="00000000">
          <w:rPr>
            <w:color w:val="1155cc"/>
            <w:sz w:val="14"/>
            <w:szCs w:val="14"/>
            <w:u w:val="single"/>
            <w:rtl w:val="0"/>
          </w:rPr>
          <w:t xml:space="preserve">https://www.advantaglobal.com/news/three-common-machinery-breakdown</w:t>
        </w:r>
      </w:hyperlink>
      <w:r w:rsidDel="00000000" w:rsidR="00000000" w:rsidRPr="00000000">
        <w:rPr>
          <w:sz w:val="14"/>
          <w:szCs w:val="14"/>
          <w:rtl w:val="0"/>
        </w:rPr>
        <w:t xml:space="preserve"> [2]</w:t>
      </w:r>
      <w:r w:rsidDel="00000000" w:rsidR="00000000" w:rsidRPr="00000000">
        <w:rPr>
          <w:rtl w:val="0"/>
        </w:rPr>
      </w:r>
    </w:p>
    <w:p w:rsidR="00000000" w:rsidDel="00000000" w:rsidP="00000000" w:rsidRDefault="00000000" w:rsidRPr="00000000" w14:paraId="0000000F">
      <w:pPr>
        <w:numPr>
          <w:ilvl w:val="0"/>
          <w:numId w:val="1"/>
        </w:numPr>
        <w:spacing w:line="240" w:lineRule="auto"/>
        <w:ind w:left="720" w:hanging="360"/>
        <w:jc w:val="left"/>
        <w:rPr>
          <w:sz w:val="14"/>
          <w:szCs w:val="14"/>
        </w:rPr>
      </w:pPr>
      <w:r w:rsidDel="00000000" w:rsidR="00000000" w:rsidRPr="00000000">
        <w:rPr>
          <w:sz w:val="14"/>
          <w:szCs w:val="14"/>
          <w:rtl w:val="0"/>
        </w:rPr>
        <w:t xml:space="preserve">Swiss Re. </w:t>
      </w:r>
      <w:r w:rsidDel="00000000" w:rsidR="00000000" w:rsidRPr="00000000">
        <w:rPr>
          <w:i w:val="1"/>
          <w:iCs w:val="1"/>
          <w:sz w:val="14"/>
          <w:szCs w:val="14"/>
          <w:rtl w:val="0"/>
        </w:rPr>
        <w:t xml:space="preserve">Engineering insurance and reinsurance: an introduction.</w:t>
      </w:r>
      <w:r w:rsidDel="00000000" w:rsidR="00000000" w:rsidRPr="00000000">
        <w:rPr>
          <w:sz w:val="14"/>
          <w:szCs w:val="14"/>
          <w:rtl w:val="0"/>
        </w:rPr>
        <w:t xml:space="preserve"> Swiss Re; 2011. Accessed March 19, 2026.</w:t>
      </w:r>
      <w:hyperlink r:id="rId9">
        <w:r w:rsidDel="00000000" w:rsidR="00000000" w:rsidRPr="00000000">
          <w:rPr>
            <w:sz w:val="14"/>
            <w:szCs w:val="14"/>
            <w:rtl w:val="0"/>
          </w:rPr>
          <w:t xml:space="preserve"> </w:t>
        </w:r>
      </w:hyperlink>
      <w:hyperlink r:id="rId10">
        <w:r w:rsidDel="00000000" w:rsidR="00000000" w:rsidRPr="00000000">
          <w:rPr>
            <w:color w:val="1155cc"/>
            <w:sz w:val="14"/>
            <w:szCs w:val="14"/>
            <w:u w:val="single"/>
            <w:rtl w:val="0"/>
          </w:rPr>
          <w:t xml:space="preserve">https://www.swissre.com/dam/jcr:3af81051-50db-4ea7-9e07-c0398a9145f9/pub_engineering_insurance_and_reinsurance_en.pdf</w:t>
        </w:r>
      </w:hyperlink>
      <w:r w:rsidDel="00000000" w:rsidR="00000000" w:rsidRPr="00000000">
        <w:rPr>
          <w:sz w:val="14"/>
          <w:szCs w:val="14"/>
          <w:rtl w:val="0"/>
        </w:rPr>
        <w:t xml:space="preserve"> [3]</w:t>
      </w:r>
      <w:r w:rsidDel="00000000" w:rsidR="00000000" w:rsidRPr="00000000">
        <w:rPr>
          <w:rtl w:val="0"/>
        </w:rPr>
      </w:r>
    </w:p>
    <w:p w:rsidR="00000000" w:rsidDel="00000000" w:rsidP="00000000" w:rsidRDefault="00000000" w:rsidRPr="00000000" w14:paraId="00000010">
      <w:pPr>
        <w:numPr>
          <w:ilvl w:val="0"/>
          <w:numId w:val="1"/>
        </w:numPr>
        <w:spacing w:after="40" w:afterAutospacing="0" w:line="240" w:lineRule="auto"/>
        <w:ind w:left="720" w:hanging="360"/>
        <w:jc w:val="left"/>
        <w:rPr>
          <w:sz w:val="14"/>
          <w:szCs w:val="14"/>
        </w:rPr>
      </w:pPr>
      <w:r w:rsidDel="00000000" w:rsidR="00000000" w:rsidRPr="00000000">
        <w:rPr>
          <w:sz w:val="14"/>
          <w:szCs w:val="14"/>
          <w:rtl w:val="0"/>
        </w:rPr>
        <w:t xml:space="preserve">Brüggemann P, Catlin T, Chinczewski J, Lorenz JT, Prymaka S. Claims in the digital age: how insurers can get started. McKinsey &amp; Company. Published April 4, 2018. Accessed March 19, 2026. https://www.mckinsey.com/industries/financial-services/our-insights/claims-in-the-digital-age#/</w:t>
      </w:r>
      <w:r w:rsidDel="00000000" w:rsidR="00000000" w:rsidRPr="00000000">
        <w:rPr>
          <w:sz w:val="14"/>
          <w:szCs w:val="14"/>
          <w:rtl w:val="0"/>
        </w:rPr>
        <w:t xml:space="preserve"> [4]</w:t>
      </w:r>
      <w:r w:rsidDel="00000000" w:rsidR="00000000" w:rsidRPr="00000000">
        <w:rPr>
          <w:rtl w:val="0"/>
        </w:rPr>
      </w:r>
    </w:p>
    <w:p w:rsidR="00000000" w:rsidDel="00000000" w:rsidP="00000000" w:rsidRDefault="00000000" w:rsidRPr="00000000" w14:paraId="00000011">
      <w:pPr>
        <w:numPr>
          <w:ilvl w:val="0"/>
          <w:numId w:val="1"/>
        </w:numPr>
        <w:spacing w:after="0" w:afterAutospacing="0" w:before="40" w:beforeAutospacing="0" w:line="240" w:lineRule="auto"/>
        <w:ind w:left="720" w:hanging="360"/>
        <w:jc w:val="left"/>
        <w:rPr>
          <w:sz w:val="14"/>
          <w:szCs w:val="14"/>
        </w:rPr>
      </w:pPr>
      <w:r w:rsidDel="00000000" w:rsidR="00000000" w:rsidRPr="00000000">
        <w:rPr>
          <w:sz w:val="14"/>
          <w:szCs w:val="14"/>
          <w:rtl w:val="0"/>
        </w:rPr>
        <w:t xml:space="preserve">Noon RK. </w:t>
      </w:r>
      <w:r w:rsidDel="00000000" w:rsidR="00000000" w:rsidRPr="00000000">
        <w:rPr>
          <w:i w:val="1"/>
          <w:iCs w:val="1"/>
          <w:sz w:val="14"/>
          <w:szCs w:val="14"/>
          <w:rtl w:val="0"/>
        </w:rPr>
        <w:t xml:space="preserve">Introduction to forensic engineering.</w:t>
      </w:r>
      <w:r w:rsidDel="00000000" w:rsidR="00000000" w:rsidRPr="00000000">
        <w:rPr>
          <w:sz w:val="14"/>
          <w:szCs w:val="14"/>
          <w:rtl w:val="0"/>
        </w:rPr>
        <w:t xml:space="preserve"> Boca Raton, FL: CRC Press; 2020. Accessed March 19, 2026. </w:t>
      </w:r>
      <w:hyperlink r:id="rId11">
        <w:r w:rsidDel="00000000" w:rsidR="00000000" w:rsidRPr="00000000">
          <w:rPr>
            <w:color w:val="1155cc"/>
            <w:sz w:val="14"/>
            <w:szCs w:val="14"/>
            <w:u w:val="single"/>
            <w:rtl w:val="0"/>
          </w:rPr>
          <w:t xml:space="preserve">https://books.google.de/books?id=HC_wDwAAQBAJ</w:t>
        </w:r>
      </w:hyperlink>
      <w:r w:rsidDel="00000000" w:rsidR="00000000" w:rsidRPr="00000000">
        <w:rPr>
          <w:sz w:val="14"/>
          <w:szCs w:val="14"/>
          <w:rtl w:val="0"/>
        </w:rPr>
        <w:t xml:space="preserve"> [5]</w:t>
      </w:r>
      <w:r w:rsidDel="00000000" w:rsidR="00000000" w:rsidRPr="00000000">
        <w:rPr>
          <w:rtl w:val="0"/>
        </w:rPr>
      </w:r>
    </w:p>
    <w:p w:rsidR="00000000" w:rsidDel="00000000" w:rsidP="00000000" w:rsidRDefault="00000000" w:rsidRPr="00000000" w14:paraId="00000012">
      <w:pPr>
        <w:numPr>
          <w:ilvl w:val="0"/>
          <w:numId w:val="1"/>
        </w:numPr>
        <w:spacing w:after="0" w:afterAutospacing="0" w:before="0" w:beforeAutospacing="0" w:line="240" w:lineRule="auto"/>
        <w:ind w:left="720" w:hanging="360"/>
        <w:jc w:val="left"/>
        <w:rPr>
          <w:sz w:val="14"/>
          <w:szCs w:val="14"/>
        </w:rPr>
      </w:pPr>
      <w:r w:rsidDel="00000000" w:rsidR="00000000" w:rsidRPr="00000000">
        <w:rPr>
          <w:sz w:val="14"/>
          <w:szCs w:val="14"/>
          <w:rtl w:val="0"/>
        </w:rPr>
        <w:t xml:space="preserve">Hashemian HM, Bean WC. State-of-the-art predictive maintenance techniques. IEEE Trans Instrum Meas. 2011;60(10):3480-3492. doi:10.1109/TIM.2009.2036347. Accessed March 19, 2026. </w:t>
      </w:r>
      <w:hyperlink r:id="rId12">
        <w:r w:rsidDel="00000000" w:rsidR="00000000" w:rsidRPr="00000000">
          <w:rPr>
            <w:color w:val="1155cc"/>
            <w:sz w:val="14"/>
            <w:szCs w:val="14"/>
            <w:u w:val="single"/>
            <w:rtl w:val="0"/>
          </w:rPr>
          <w:t xml:space="preserve">https://ieeexplore.ieee.org/document/5754581</w:t>
        </w:r>
      </w:hyperlink>
      <w:r w:rsidDel="00000000" w:rsidR="00000000" w:rsidRPr="00000000">
        <w:rPr>
          <w:sz w:val="14"/>
          <w:szCs w:val="14"/>
          <w:rtl w:val="0"/>
        </w:rPr>
        <w:t xml:space="preserve"> [6]</w:t>
      </w:r>
      <w:r w:rsidDel="00000000" w:rsidR="00000000" w:rsidRPr="00000000">
        <w:rPr>
          <w:rtl w:val="0"/>
        </w:rPr>
      </w:r>
    </w:p>
    <w:p w:rsidR="00000000" w:rsidDel="00000000" w:rsidP="00000000" w:rsidRDefault="00000000" w:rsidRPr="00000000" w14:paraId="00000013">
      <w:pPr>
        <w:numPr>
          <w:ilvl w:val="0"/>
          <w:numId w:val="1"/>
        </w:numPr>
        <w:spacing w:after="0" w:afterAutospacing="0" w:before="0" w:beforeAutospacing="0" w:line="240" w:lineRule="auto"/>
        <w:ind w:left="720" w:hanging="360"/>
        <w:jc w:val="left"/>
        <w:rPr>
          <w:sz w:val="14"/>
          <w:szCs w:val="14"/>
        </w:rPr>
      </w:pPr>
      <w:r w:rsidDel="00000000" w:rsidR="00000000" w:rsidRPr="00000000">
        <w:rPr>
          <w:sz w:val="14"/>
          <w:szCs w:val="14"/>
          <w:rtl w:val="0"/>
        </w:rPr>
        <w:t xml:space="preserve">Siemens. Senseye Predictive Maintenance: Scalable &amp; sustainable asset intelligence. Accessed March 18, 2026. </w:t>
      </w:r>
      <w:hyperlink r:id="rId13">
        <w:r w:rsidDel="00000000" w:rsidR="00000000" w:rsidRPr="00000000">
          <w:rPr>
            <w:color w:val="1155cc"/>
            <w:sz w:val="14"/>
            <w:szCs w:val="14"/>
            <w:u w:val="single"/>
            <w:rtl w:val="0"/>
          </w:rPr>
          <w:t xml:space="preserve">https://assets.new.siemens.com/siemens/assets/api/uuid:37142e74-d43b-4c2f-b284-970e6264a0be/Senseye-Predictive-Maintenance_original.pdf</w:t>
        </w:r>
      </w:hyperlink>
      <w:r w:rsidDel="00000000" w:rsidR="00000000" w:rsidRPr="00000000">
        <w:rPr>
          <w:sz w:val="14"/>
          <w:szCs w:val="14"/>
          <w:rtl w:val="0"/>
        </w:rPr>
        <w:t xml:space="preserve"> [7]</w:t>
      </w:r>
      <w:r w:rsidDel="00000000" w:rsidR="00000000" w:rsidRPr="00000000">
        <w:rPr>
          <w:rtl w:val="0"/>
        </w:rPr>
      </w:r>
    </w:p>
    <w:p w:rsidR="00000000" w:rsidDel="00000000" w:rsidP="00000000" w:rsidRDefault="00000000" w:rsidRPr="00000000" w14:paraId="00000014">
      <w:pPr>
        <w:numPr>
          <w:ilvl w:val="0"/>
          <w:numId w:val="1"/>
        </w:numPr>
        <w:spacing w:after="40" w:line="240" w:lineRule="auto"/>
        <w:ind w:left="720" w:hanging="360"/>
        <w:jc w:val="left"/>
        <w:rPr>
          <w:sz w:val="14"/>
          <w:szCs w:val="14"/>
        </w:rPr>
      </w:pPr>
      <w:r w:rsidDel="00000000" w:rsidR="00000000" w:rsidRPr="00000000">
        <w:rPr>
          <w:sz w:val="14"/>
          <w:szCs w:val="14"/>
          <w:rtl w:val="0"/>
        </w:rPr>
        <w:t xml:space="preserve">Rockwell Automation. FactoryTalk Analytics GuardianAI. Accessed March 18, 2026. </w:t>
      </w:r>
      <w:hyperlink r:id="rId14">
        <w:r w:rsidDel="00000000" w:rsidR="00000000" w:rsidRPr="00000000">
          <w:rPr>
            <w:color w:val="1155cc"/>
            <w:sz w:val="14"/>
            <w:szCs w:val="14"/>
            <w:u w:val="single"/>
            <w:rtl w:val="0"/>
          </w:rPr>
          <w:t xml:space="preserve">https://www.rockwellautomation.com/en-us/products/software/factorytalk/maintenancesuite/factorytalk-analytics-guardianai.html</w:t>
        </w:r>
      </w:hyperlink>
      <w:r w:rsidDel="00000000" w:rsidR="00000000" w:rsidRPr="00000000">
        <w:rPr>
          <w:sz w:val="14"/>
          <w:szCs w:val="14"/>
          <w:rtl w:val="0"/>
        </w:rPr>
        <w:t xml:space="preserve"> [8]</w:t>
      </w:r>
      <w:r w:rsidDel="00000000" w:rsidR="00000000" w:rsidRPr="00000000">
        <w:rPr>
          <w:rtl w:val="0"/>
        </w:rPr>
      </w:r>
    </w:p>
    <w:p w:rsidR="00000000" w:rsidDel="00000000" w:rsidP="00000000" w:rsidRDefault="00000000" w:rsidRPr="00000000" w14:paraId="00000015">
      <w:pPr>
        <w:numPr>
          <w:ilvl w:val="0"/>
          <w:numId w:val="1"/>
        </w:numPr>
        <w:spacing w:after="40" w:line="240" w:lineRule="auto"/>
        <w:ind w:left="720" w:hanging="360"/>
        <w:jc w:val="left"/>
        <w:rPr>
          <w:sz w:val="14"/>
          <w:szCs w:val="14"/>
        </w:rPr>
      </w:pPr>
      <w:r w:rsidDel="00000000" w:rsidR="00000000" w:rsidRPr="00000000">
        <w:rPr>
          <w:sz w:val="14"/>
          <w:szCs w:val="14"/>
          <w:rtl w:val="0"/>
        </w:rPr>
        <w:t xml:space="preserve">Paczolt M. Using predictive analytics and AI in insurance claims. Milliman. Published January 25, 2023. Accessed March 19, 2026.</w:t>
      </w:r>
      <w:hyperlink r:id="rId15">
        <w:r w:rsidDel="00000000" w:rsidR="00000000" w:rsidRPr="00000000">
          <w:rPr>
            <w:sz w:val="14"/>
            <w:szCs w:val="14"/>
            <w:rtl w:val="0"/>
          </w:rPr>
          <w:t xml:space="preserve"> </w:t>
        </w:r>
      </w:hyperlink>
      <w:hyperlink r:id="rId16">
        <w:r w:rsidDel="00000000" w:rsidR="00000000" w:rsidRPr="00000000">
          <w:rPr>
            <w:color w:val="1155cc"/>
            <w:sz w:val="14"/>
            <w:szCs w:val="14"/>
            <w:u w:val="single"/>
            <w:rtl w:val="0"/>
          </w:rPr>
          <w:t xml:space="preserve">https://www.milliman.com/en/insight/your-data-is-better-than-you-think-using-ai-for-insurance-claims</w:t>
        </w:r>
      </w:hyperlink>
      <w:r w:rsidDel="00000000" w:rsidR="00000000" w:rsidRPr="00000000">
        <w:rPr>
          <w:sz w:val="14"/>
          <w:szCs w:val="14"/>
          <w:rtl w:val="0"/>
        </w:rPr>
        <w:t xml:space="preserve"> [9]</w:t>
      </w:r>
      <w:r w:rsidDel="00000000" w:rsidR="00000000" w:rsidRPr="00000000">
        <w:rPr>
          <w:rtl w:val="0"/>
        </w:rPr>
      </w:r>
    </w:p>
    <w:p w:rsidR="00000000" w:rsidDel="00000000" w:rsidP="00000000" w:rsidRDefault="00000000" w:rsidRPr="00000000" w14:paraId="00000016">
      <w:pPr>
        <w:numPr>
          <w:ilvl w:val="0"/>
          <w:numId w:val="1"/>
        </w:numPr>
        <w:spacing w:after="40" w:line="240" w:lineRule="auto"/>
        <w:ind w:left="720" w:hanging="360"/>
        <w:jc w:val="left"/>
        <w:rPr>
          <w:sz w:val="14"/>
          <w:szCs w:val="14"/>
        </w:rPr>
      </w:pPr>
      <w:r w:rsidDel="00000000" w:rsidR="00000000" w:rsidRPr="00000000">
        <w:rPr>
          <w:sz w:val="14"/>
          <w:szCs w:val="14"/>
          <w:rtl w:val="0"/>
        </w:rPr>
        <w:t xml:space="preserve">O’Donncha F, Zhou N, Martinez N, Rayfield JT, Heath FF III, Langbridge A, Vaculin R. Evidence-driven reasoning for industrial maintenance using heterogeneous data. </w:t>
      </w:r>
      <w:r w:rsidDel="00000000" w:rsidR="00000000" w:rsidRPr="00000000">
        <w:rPr>
          <w:i w:val="1"/>
          <w:iCs w:val="1"/>
          <w:sz w:val="14"/>
          <w:szCs w:val="14"/>
          <w:rtl w:val="0"/>
        </w:rPr>
        <w:t xml:space="preserve">arXiv</w:t>
      </w:r>
      <w:r w:rsidDel="00000000" w:rsidR="00000000" w:rsidRPr="00000000">
        <w:rPr>
          <w:sz w:val="14"/>
          <w:szCs w:val="14"/>
          <w:rtl w:val="0"/>
        </w:rPr>
        <w:t xml:space="preserve">. Published March 9, 2026. Accessed March 19, 2026.</w:t>
      </w:r>
      <w:hyperlink r:id="rId17">
        <w:r w:rsidDel="00000000" w:rsidR="00000000" w:rsidRPr="00000000">
          <w:rPr>
            <w:sz w:val="14"/>
            <w:szCs w:val="14"/>
            <w:rtl w:val="0"/>
          </w:rPr>
          <w:t xml:space="preserve"> </w:t>
        </w:r>
      </w:hyperlink>
      <w:hyperlink r:id="rId18">
        <w:r w:rsidDel="00000000" w:rsidR="00000000" w:rsidRPr="00000000">
          <w:rPr>
            <w:color w:val="1155cc"/>
            <w:sz w:val="14"/>
            <w:szCs w:val="14"/>
            <w:u w:val="single"/>
            <w:rtl w:val="0"/>
          </w:rPr>
          <w:t xml:space="preserve">https://arxiv.org/abs/2603.08171</w:t>
        </w:r>
      </w:hyperlink>
      <w:r w:rsidDel="00000000" w:rsidR="00000000" w:rsidRPr="00000000">
        <w:rPr>
          <w:sz w:val="14"/>
          <w:szCs w:val="14"/>
          <w:rtl w:val="0"/>
        </w:rPr>
        <w:t xml:space="preserve"> [10]</w:t>
      </w:r>
      <w:r w:rsidDel="00000000" w:rsidR="00000000" w:rsidRPr="00000000">
        <w:rPr>
          <w:rtl w:val="0"/>
        </w:rPr>
      </w:r>
    </w:p>
    <w:p w:rsidR="00000000" w:rsidDel="00000000" w:rsidP="00000000" w:rsidRDefault="00000000" w:rsidRPr="00000000" w14:paraId="00000017">
      <w:pPr>
        <w:numPr>
          <w:ilvl w:val="0"/>
          <w:numId w:val="1"/>
        </w:numPr>
        <w:spacing w:after="40" w:line="240" w:lineRule="auto"/>
        <w:ind w:left="720" w:hanging="360"/>
        <w:jc w:val="left"/>
        <w:rPr>
          <w:sz w:val="14"/>
          <w:szCs w:val="14"/>
        </w:rPr>
      </w:pPr>
      <w:r w:rsidDel="00000000" w:rsidR="00000000" w:rsidRPr="00000000">
        <w:rPr>
          <w:sz w:val="14"/>
          <w:szCs w:val="14"/>
          <w:rtl w:val="0"/>
        </w:rPr>
        <w:t xml:space="preserve">Pech M, Vrchota J, Bednář J. Predictive maintenance and intelligent sensors in smart factory. </w:t>
      </w:r>
      <w:r w:rsidDel="00000000" w:rsidR="00000000" w:rsidRPr="00000000">
        <w:rPr>
          <w:i w:val="1"/>
          <w:iCs w:val="1"/>
          <w:sz w:val="14"/>
          <w:szCs w:val="14"/>
          <w:rtl w:val="0"/>
        </w:rPr>
        <w:t xml:space="preserve">Sensors (Basel).</w:t>
      </w:r>
      <w:r w:rsidDel="00000000" w:rsidR="00000000" w:rsidRPr="00000000">
        <w:rPr>
          <w:sz w:val="14"/>
          <w:szCs w:val="14"/>
          <w:rtl w:val="0"/>
        </w:rPr>
        <w:t xml:space="preserve"> 2021;21(4):1470. doi:10.3390/s21041470. Accessed March 19, 2026.</w:t>
      </w:r>
      <w:hyperlink r:id="rId19">
        <w:r w:rsidDel="00000000" w:rsidR="00000000" w:rsidRPr="00000000">
          <w:rPr>
            <w:sz w:val="14"/>
            <w:szCs w:val="14"/>
            <w:rtl w:val="0"/>
          </w:rPr>
          <w:t xml:space="preserve"> </w:t>
        </w:r>
      </w:hyperlink>
      <w:hyperlink r:id="rId20">
        <w:r w:rsidDel="00000000" w:rsidR="00000000" w:rsidRPr="00000000">
          <w:rPr>
            <w:color w:val="1155cc"/>
            <w:sz w:val="14"/>
            <w:szCs w:val="14"/>
            <w:u w:val="single"/>
            <w:rtl w:val="0"/>
          </w:rPr>
          <w:t xml:space="preserve">https://www.mdpi.com/1424-8220/21/4/1470</w:t>
        </w:r>
      </w:hyperlink>
      <w:r w:rsidDel="00000000" w:rsidR="00000000" w:rsidRPr="00000000">
        <w:rPr>
          <w:sz w:val="14"/>
          <w:szCs w:val="14"/>
          <w:rtl w:val="0"/>
        </w:rPr>
        <w:t xml:space="preserve"> [12]</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mdpi.com/1424-8220/21/4/1470" TargetMode="External"/><Relationship Id="rId11" Type="http://schemas.openxmlformats.org/officeDocument/2006/relationships/hyperlink" Target="https://books.google.de/books?id=HC_wDwAAQBAJ" TargetMode="External"/><Relationship Id="rId10" Type="http://schemas.openxmlformats.org/officeDocument/2006/relationships/hyperlink" Target="https://www.swissre.com/dam/jcr:3af81051-50db-4ea7-9e07-c0398a9145f9/pub_engineering_insurance_and_reinsurance_en.pdf" TargetMode="External"/><Relationship Id="rId13" Type="http://schemas.openxmlformats.org/officeDocument/2006/relationships/hyperlink" Target="https://assets.new.siemens.com/siemens/assets/api/uuid:37142e74-d43b-4c2f-b284-970e6264a0be/Senseye-Predictive-Maintenance_original.pdf" TargetMode="External"/><Relationship Id="rId12" Type="http://schemas.openxmlformats.org/officeDocument/2006/relationships/hyperlink" Target="https://ieeexplore.ieee.org/document/575458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wissre.com/dam/jcr:3af81051-50db-4ea7-9e07-c0398a9145f9/pub_engineering_insurance_and_reinsurance_en.pdf" TargetMode="External"/><Relationship Id="rId15" Type="http://schemas.openxmlformats.org/officeDocument/2006/relationships/hyperlink" Target="https://www.milliman.com/en/insight/your-data-is-better-than-you-think-using-ai-for-insurance-claims" TargetMode="External"/><Relationship Id="rId14" Type="http://schemas.openxmlformats.org/officeDocument/2006/relationships/hyperlink" Target="https://www.rockwellautomation.com/en-us/products/software/factorytalk/maintenancesuite/factorytalk-analytics-guardianai.html" TargetMode="External"/><Relationship Id="rId17" Type="http://schemas.openxmlformats.org/officeDocument/2006/relationships/hyperlink" Target="https://arxiv.org/abs/2603.08171" TargetMode="External"/><Relationship Id="rId16" Type="http://schemas.openxmlformats.org/officeDocument/2006/relationships/hyperlink" Target="https://www.milliman.com/en/insight/your-data-is-better-than-you-think-using-ai-for-insurance-claims" TargetMode="External"/><Relationship Id="rId5" Type="http://schemas.openxmlformats.org/officeDocument/2006/relationships/styles" Target="styles.xml"/><Relationship Id="rId19" Type="http://schemas.openxmlformats.org/officeDocument/2006/relationships/hyperlink" Target="https://www.mdpi.com/1424-8220/21/4/1470" TargetMode="External"/><Relationship Id="rId6" Type="http://schemas.openxmlformats.org/officeDocument/2006/relationships/hyperlink" Target="https://www.ey.com/en_no/insights/consulting/five-leading-questions-to-support-your-claims-automation-journey" TargetMode="External"/><Relationship Id="rId18" Type="http://schemas.openxmlformats.org/officeDocument/2006/relationships/hyperlink" Target="https://arxiv.org/abs/2603.08171" TargetMode="External"/><Relationship Id="rId7" Type="http://schemas.openxmlformats.org/officeDocument/2006/relationships/hyperlink" Target="https://www.advantaglobal.com/news/three-common-machinery-breakdown" TargetMode="External"/><Relationship Id="rId8" Type="http://schemas.openxmlformats.org/officeDocument/2006/relationships/hyperlink" Target="https://www.advantaglobal.com/news/three-common-machinery-breakdo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