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color w:val="5b9bd5"/>
          <w:sz w:val="24"/>
          <w:szCs w:val="24"/>
        </w:rPr>
      </w:pPr>
      <w:r w:rsidDel="00000000" w:rsidR="00000000" w:rsidRPr="00000000">
        <w:rPr>
          <w:color w:val="5b9bd5"/>
          <w:sz w:val="24"/>
          <w:szCs w:val="24"/>
          <w:rtl w:val="0"/>
        </w:rPr>
        <w:t xml:space="preserve">Digital Twin Simulations for Industrial Assurance </w:t>
      </w:r>
    </w:p>
    <w:p w:rsidR="00000000" w:rsidDel="00000000" w:rsidP="00000000" w:rsidRDefault="00000000" w:rsidRPr="00000000" w14:paraId="00000002">
      <w:pPr>
        <w:rPr/>
      </w:pPr>
      <w:r w:rsidDel="00000000" w:rsidR="00000000" w:rsidRPr="00000000">
        <w:rPr>
          <w:color w:val="000000"/>
          <w:sz w:val="18"/>
          <w:szCs w:val="18"/>
          <w:rtl w:val="0"/>
        </w:rPr>
        <w:t xml:space="preserve">Advancing Insurance Risk Evaluation through Digital Twin Technology</w:t>
      </w: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Industrial insurers currently price risk using actuarial models built on aggregated historical data that cannot capture asset-specific behavior or real-time operating conditions [1]. Traditional certification methods face the same limitation, assessing systems at a fixed point in time rather than continuously throughout their operational lifecycle [2,5].</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Digital twins address both constraints by creating continuously updated virtual replicas of physical assets, enabling simulation of failure scenarios and behavioral testing under conditions that would be dangerous or impossible to reproduce physically [5]. They have already been demonstrated as evidence-generating tools for safety assurance in industrial environments, producing structured outputs that can support formal safety claims [3,5]. Model fidelity is the critical constraint, as outputs are only as reliable as the underlying synchronization between the virtual model and its physical counterpart [4,6].</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i w:val="1"/>
          <w:iCs w:val="1"/>
        </w:rPr>
      </w:pPr>
      <w:r w:rsidDel="00000000" w:rsidR="00000000" w:rsidRPr="00000000">
        <w:rPr>
          <w:rtl w:val="0"/>
        </w:rPr>
        <w:t xml:space="preserve">These capabilities point toward an emerging assurance-as-a-service model, in which specialized firms generate verifiable simulation-based evidence of asset reliability for both certification and insurance underwriting purposes [3]. As industrial AI systems become more complex and harder to inspect through conventional means, digital twins represent a credible mechanism for closing the gap between how risk is currently assessed and how precisely it could be quantified.</w:t>
      </w: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commentRangeStart w:id="0"/>
      <w:commentRangeStart w:id="1"/>
      <w:commentRangeStart w:id="2"/>
      <w:r w:rsidDel="00000000" w:rsidR="00000000" w:rsidRPr="00000000">
        <w:rPr>
          <w:rtl w:val="0"/>
        </w:rPr>
        <w:t xml:space="preserve">“Our digital twins already represent real machines with over 85% accuracy and are used to test how they would behave under various scenarios.” (Siemens)</w:t>
      </w:r>
      <w:commentRangeEnd w:id="0"/>
      <w:r w:rsidDel="00000000" w:rsidR="00000000" w:rsidRPr="00000000">
        <w:commentReference w:id="0"/>
      </w:r>
      <w:commentRangeEnd w:id="1"/>
      <w:r w:rsidDel="00000000" w:rsidR="00000000" w:rsidRPr="00000000">
        <w:commentReference w:id="1"/>
      </w:r>
      <w:commentRangeEnd w:id="2"/>
      <w:r w:rsidDel="00000000" w:rsidR="00000000" w:rsidRPr="00000000">
        <w:commentReference w:id="2"/>
      </w: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spacing w:line="276" w:lineRule="auto"/>
        <w:rPr/>
      </w:pPr>
      <w:r w:rsidDel="00000000" w:rsidR="00000000" w:rsidRPr="00000000">
        <w:rPr>
          <w:b w:val="1"/>
          <w:bCs w:val="1"/>
          <w:sz w:val="18"/>
          <w:szCs w:val="18"/>
          <w:rtl w:val="0"/>
        </w:rPr>
        <w:t xml:space="preserve">References:</w:t>
      </w: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numPr>
          <w:ilvl w:val="0"/>
          <w:numId w:val="1"/>
        </w:numPr>
        <w:ind w:left="720" w:hanging="360"/>
      </w:pPr>
      <w:r w:rsidDel="00000000" w:rsidR="00000000" w:rsidRPr="00000000">
        <w:rPr>
          <w:rtl w:val="0"/>
        </w:rPr>
        <w:t xml:space="preserve">Finger D, Albrecher H, Wilhelmy L. On the cost of risk misspecification in insurance pricing. </w:t>
      </w:r>
      <w:r w:rsidDel="00000000" w:rsidR="00000000" w:rsidRPr="00000000">
        <w:rPr>
          <w:i w:val="1"/>
          <w:iCs w:val="1"/>
          <w:rtl w:val="0"/>
        </w:rPr>
        <w:t xml:space="preserve">Jpn J Stat Data Sci</w:t>
      </w:r>
      <w:r w:rsidDel="00000000" w:rsidR="00000000" w:rsidRPr="00000000">
        <w:rPr>
          <w:rtl w:val="0"/>
        </w:rPr>
        <w:t xml:space="preserve">. 2024;7:1111-1153. doi:10.1007/s42081-024-00256-z</w:t>
      </w:r>
    </w:p>
    <w:p w:rsidR="00000000" w:rsidDel="00000000" w:rsidP="00000000" w:rsidRDefault="00000000" w:rsidRPr="00000000" w14:paraId="00000010">
      <w:pPr>
        <w:numPr>
          <w:ilvl w:val="0"/>
          <w:numId w:val="1"/>
        </w:numPr>
        <w:ind w:left="720" w:hanging="360"/>
      </w:pPr>
      <w:r w:rsidDel="00000000" w:rsidR="00000000" w:rsidRPr="00000000">
        <w:rPr>
          <w:rtl w:val="0"/>
        </w:rPr>
        <w:t xml:space="preserve">Grieves M. Digital twin certified: Employing virtual testing of digital twins in manufacturing to ensure quality products. </w:t>
      </w:r>
      <w:r w:rsidDel="00000000" w:rsidR="00000000" w:rsidRPr="00000000">
        <w:rPr>
          <w:i w:val="1"/>
          <w:iCs w:val="1"/>
          <w:rtl w:val="0"/>
        </w:rPr>
        <w:t xml:space="preserve">Machines</w:t>
      </w:r>
      <w:r w:rsidDel="00000000" w:rsidR="00000000" w:rsidRPr="00000000">
        <w:rPr>
          <w:rtl w:val="0"/>
        </w:rPr>
        <w:t xml:space="preserve">. 2023;11(8):808. doi:10.3390/machines11080808</w:t>
      </w:r>
    </w:p>
    <w:p w:rsidR="00000000" w:rsidDel="00000000" w:rsidP="00000000" w:rsidRDefault="00000000" w:rsidRPr="00000000" w14:paraId="00000011">
      <w:pPr>
        <w:numPr>
          <w:ilvl w:val="0"/>
          <w:numId w:val="1"/>
        </w:numPr>
        <w:ind w:left="720" w:hanging="360"/>
      </w:pPr>
      <w:r w:rsidDel="00000000" w:rsidR="00000000" w:rsidRPr="00000000">
        <w:rPr>
          <w:rtl w:val="0"/>
        </w:rPr>
        <w:t xml:space="preserve">Ansari F, Nixdorf S, Sihn W. Insurability of cyber physical production systems: How does digital twin improve predictability of failure risk? </w:t>
      </w:r>
      <w:r w:rsidDel="00000000" w:rsidR="00000000" w:rsidRPr="00000000">
        <w:rPr>
          <w:i w:val="1"/>
          <w:iCs w:val="1"/>
          <w:rtl w:val="0"/>
        </w:rPr>
        <w:t xml:space="preserve">IFAC-PapersOnLine</w:t>
      </w:r>
      <w:r w:rsidDel="00000000" w:rsidR="00000000" w:rsidRPr="00000000">
        <w:rPr>
          <w:rtl w:val="0"/>
        </w:rPr>
        <w:t xml:space="preserve">. 2020;53(3):295-300. doi:10.1016/j.ifacol.2020.11.063</w:t>
      </w:r>
    </w:p>
    <w:p w:rsidR="00000000" w:rsidDel="00000000" w:rsidP="00000000" w:rsidRDefault="00000000" w:rsidRPr="00000000" w14:paraId="00000012">
      <w:pPr>
        <w:numPr>
          <w:ilvl w:val="0"/>
          <w:numId w:val="1"/>
        </w:numPr>
        <w:ind w:left="720" w:hanging="360"/>
      </w:pPr>
      <w:r w:rsidDel="00000000" w:rsidR="00000000" w:rsidRPr="00000000">
        <w:rPr>
          <w:rtl w:val="0"/>
        </w:rPr>
        <w:t xml:space="preserve">Muñoz P. Measuring the fidelity of digital twin systems. In: </w:t>
      </w:r>
      <w:r w:rsidDel="00000000" w:rsidR="00000000" w:rsidRPr="00000000">
        <w:rPr>
          <w:i w:val="1"/>
          <w:iCs w:val="1"/>
          <w:rtl w:val="0"/>
        </w:rPr>
        <w:t xml:space="preserve">Proceedings of the ACM/IEEE 25th International Conference on Model Driven Engineering Languages and Systems</w:t>
      </w:r>
      <w:r w:rsidDel="00000000" w:rsidR="00000000" w:rsidRPr="00000000">
        <w:rPr>
          <w:rtl w:val="0"/>
        </w:rPr>
        <w:t xml:space="preserve">. 2022:182-188. doi:10.1145/3550356.3558516</w:t>
      </w:r>
    </w:p>
    <w:p w:rsidR="00000000" w:rsidDel="00000000" w:rsidP="00000000" w:rsidRDefault="00000000" w:rsidRPr="00000000" w14:paraId="00000013">
      <w:pPr>
        <w:numPr>
          <w:ilvl w:val="0"/>
          <w:numId w:val="1"/>
        </w:numPr>
        <w:ind w:left="720" w:hanging="360"/>
      </w:pPr>
      <w:r w:rsidDel="00000000" w:rsidR="00000000" w:rsidRPr="00000000">
        <w:rPr>
          <w:rtl w:val="0"/>
        </w:rPr>
        <w:t xml:space="preserve">Douthwaite JA, Lesage B, Gleirscher M, et al. A modular digital twinning framework for safety assurance of collaborative robotics. </w:t>
      </w:r>
      <w:r w:rsidDel="00000000" w:rsidR="00000000" w:rsidRPr="00000000">
        <w:rPr>
          <w:i w:val="1"/>
          <w:iCs w:val="1"/>
          <w:rtl w:val="0"/>
        </w:rPr>
        <w:t xml:space="preserve">Front Robot AI</w:t>
      </w:r>
      <w:r w:rsidDel="00000000" w:rsidR="00000000" w:rsidRPr="00000000">
        <w:rPr>
          <w:rtl w:val="0"/>
        </w:rPr>
        <w:t xml:space="preserve">. 2021;8:758099. doi:10.3389/frobt.2021.758099</w:t>
      </w:r>
    </w:p>
    <w:p w:rsidR="00000000" w:rsidDel="00000000" w:rsidP="00000000" w:rsidRDefault="00000000" w:rsidRPr="00000000" w14:paraId="00000014">
      <w:pPr>
        <w:numPr>
          <w:ilvl w:val="0"/>
          <w:numId w:val="1"/>
        </w:numPr>
        <w:ind w:left="720" w:hanging="360"/>
      </w:pPr>
      <w:r w:rsidDel="00000000" w:rsidR="00000000" w:rsidRPr="00000000">
        <w:rPr>
          <w:rtl w:val="0"/>
        </w:rPr>
        <w:t xml:space="preserve">Balta EC, Pease M, Moyne J, Barton K, Tilbury DM. Digital twin-based cyber-attack detection framework for cyber-physical manufacturing systems. </w:t>
      </w:r>
      <w:r w:rsidDel="00000000" w:rsidR="00000000" w:rsidRPr="00000000">
        <w:rPr>
          <w:i w:val="1"/>
          <w:iCs w:val="1"/>
          <w:rtl w:val="0"/>
        </w:rPr>
        <w:t xml:space="preserve">IEEE Trans Autom Sci Eng</w:t>
      </w:r>
      <w:r w:rsidDel="00000000" w:rsidR="00000000" w:rsidRPr="00000000">
        <w:rPr>
          <w:rtl w:val="0"/>
        </w:rPr>
        <w:t xml:space="preserve">. 2024;21(2):1695-1712. doi:10.1109/TASE.2023.3243147</w:t>
      </w:r>
    </w:p>
    <w:sectPr>
      <w:pgSz w:h="15840" w:w="12240" w:orient="portrait"/>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Moritz Hawener" w:id="0" w:date="2026-03-29T14:58:28Z">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Who and where at siemens?</w:t>
      </w:r>
    </w:p>
  </w:comment>
  <w:comment w:author="Paulina Möhrle" w:id="1" w:date="2026-03-31T08:01:30Z">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already a great quote, ask insurance team for siemens employee specification (senior analyst, ...)</w:t>
      </w:r>
    </w:p>
  </w:comment>
  <w:comment w:author="Alma Aurelia Bonte" w:id="2" w:date="2026-03-31T13:41:52Z">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 rewrote text -&gt; should be fine, will need to figure out quote</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venir" w:cs="Avenir" w:eastAsia="Avenir" w:hAnsi="Avenir"/>
        <w:color w:val="3c3f42"/>
        <w:sz w:val="15"/>
        <w:szCs w:val="15"/>
        <w:lang w:val="en"/>
      </w:rPr>
    </w:rPrDefault>
    <w:pPrDefault>
      <w:pPr>
        <w:pBdr>
          <w:top w:color="000000" w:space="0" w:sz="0" w:val="none"/>
          <w:left w:color="000000" w:space="0" w:sz="0" w:val="none"/>
          <w:bottom w:color="000000" w:space="0" w:sz="0" w:val="none"/>
          <w:right w:color="000000" w:space="0" w:sz="0" w:val="none"/>
          <w:between w:color="000000" w:space="0" w:sz="0" w:val="none"/>
        </w:pBdr>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Bdr>
        <w:top w:color="000000" w:space="0" w:sz="0" w:val="none"/>
        <w:left w:color="000000" w:space="0" w:sz="0" w:val="none"/>
        <w:bottom w:color="000000" w:space="0" w:sz="0" w:val="none"/>
        <w:right w:color="000000" w:space="0" w:sz="0" w:val="none"/>
        <w:between w:color="000000" w:space="0" w:sz="0" w:val="none"/>
      </w:pBdr>
      <w:spacing w:line="240" w:lineRule="auto"/>
      <w:jc w:val="both"/>
    </w:pPr>
    <w:rPr>
      <w:rFonts w:ascii="Avenir" w:cs="Avenir" w:eastAsia="Avenir" w:hAnsi="Avenir"/>
      <w:b w:val="1"/>
      <w:bCs w:val="1"/>
      <w:color w:val="5b9bd5"/>
      <w:sz w:val="24"/>
      <w:szCs w:val="24"/>
    </w:rPr>
  </w:style>
  <w:style w:type="paragraph" w:styleId="Heading2">
    <w:name w:val="heading 2"/>
    <w:basedOn w:val="Normal"/>
    <w:next w:val="Normal"/>
    <w:pPr>
      <w:keepNext w:val="1"/>
      <w:keepLines w:val="1"/>
      <w:pBdr>
        <w:top w:color="000000" w:space="0" w:sz="0" w:val="none"/>
        <w:left w:color="000000" w:space="0" w:sz="0" w:val="none"/>
        <w:bottom w:color="000000" w:space="0" w:sz="0" w:val="none"/>
        <w:right w:color="000000" w:space="0" w:sz="0" w:val="none"/>
        <w:between w:color="000000" w:space="0" w:sz="0" w:val="none"/>
      </w:pBdr>
      <w:spacing w:before="240" w:line="360" w:lineRule="auto"/>
      <w:jc w:val="both"/>
    </w:pPr>
    <w:rPr>
      <w:rFonts w:ascii="Avenir" w:cs="Avenir" w:eastAsia="Avenir" w:hAnsi="Avenir"/>
      <w:b w:val="1"/>
      <w:bCs w:val="1"/>
      <w:color w:val="024ea2"/>
      <w:sz w:val="15"/>
      <w:szCs w:val="15"/>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