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THE</w:t>
      </w:r>
      <w:r w:rsidDel="00000000" w:rsidR="00000000" w:rsidRPr="00000000">
        <w:rPr>
          <w:color w:val="5b9bd5"/>
          <w:sz w:val="24"/>
          <w:szCs w:val="24"/>
          <w:rtl w:val="0"/>
        </w:rPr>
        <w:t xml:space="preserve"> AI COVERAGE GAP IN MANUFACTURING </w:t>
      </w:r>
      <w:r w:rsidDel="00000000" w:rsidR="00000000" w:rsidRPr="00000000">
        <w:rPr>
          <w:rtl w:val="0"/>
        </w:rPr>
      </w:r>
    </w:p>
    <w:p w:rsidR="00000000" w:rsidDel="00000000" w:rsidP="00000000" w:rsidRDefault="00000000" w:rsidRPr="00000000" w14:paraId="00000002">
      <w:pPr>
        <w:spacing w:line="360" w:lineRule="auto"/>
        <w:rPr>
          <w:color w:val="000000"/>
          <w:sz w:val="18"/>
          <w:szCs w:val="18"/>
        </w:rPr>
      </w:pPr>
      <w:r w:rsidDel="00000000" w:rsidR="00000000" w:rsidRPr="00000000">
        <w:rPr>
          <w:color w:val="000000"/>
          <w:sz w:val="18"/>
          <w:szCs w:val="18"/>
          <w:rtl w:val="0"/>
        </w:rPr>
        <w:t xml:space="preserve">Exposing the Coverage Gaps Left by AI-Driven Errors and Performance Shortfalls</w:t>
      </w:r>
    </w:p>
    <w:p w:rsidR="00000000" w:rsidDel="00000000" w:rsidP="00000000" w:rsidRDefault="00000000" w:rsidRPr="00000000" w14:paraId="00000003">
      <w:pPr>
        <w:rPr/>
      </w:pPr>
      <w:r w:rsidDel="00000000" w:rsidR="00000000" w:rsidRPr="00000000">
        <w:rPr>
          <w:rtl w:val="0"/>
        </w:rPr>
        <w:t xml:space="preserve">Industrial AI creates two distinct uninsured exposures: liability for errors and financial risk when AI falls short of contractual thresholds [1,9]. Policy language built around fault does not always align with AI losses, especially when harm arises without negligence. Insurance can partially address that gap by shifting attention from blame to compensation and risk allocation [3,9].</w:t>
      </w:r>
    </w:p>
    <w:p w:rsidR="00000000" w:rsidDel="00000000" w:rsidP="00000000" w:rsidRDefault="00000000" w:rsidRPr="00000000" w14:paraId="00000004">
      <w:pPr>
        <w:spacing w:after="240" w:before="240" w:lineRule="auto"/>
        <w:rPr/>
      </w:pPr>
      <w:r w:rsidDel="00000000" w:rsidR="00000000" w:rsidRPr="00000000">
        <w:rPr>
          <w:rtl w:val="0"/>
        </w:rPr>
        <w:t xml:space="preserve">Most industrial deployments operate under "silent AI" exposure, where general liability and errors-and-omissions policies neither explicitly include nor exclude AI-related losses [4]. Insurers partly use absolute exclusions to cover claims arising from alleged AI usage [5]. </w:t>
      </w:r>
      <w:r w:rsidDel="00000000" w:rsidR="00000000" w:rsidRPr="00000000">
        <w:rPr>
          <w:b w:val="1"/>
          <w:bCs w:val="1"/>
          <w:rtl w:val="0"/>
        </w:rPr>
        <w:t xml:space="preserve">From </w:t>
      </w:r>
      <w:r w:rsidDel="00000000" w:rsidR="00000000" w:rsidRPr="00000000">
        <w:rPr>
          <w:rtl w:val="0"/>
        </w:rPr>
        <w:t xml:space="preserve">August 2026, the EU AI Act requires conformity assessments for high-risk industrial AI, turning compliance into a prerequisite for lawful deployment and access to the EU market [6,10]. Directive 2024/2853 extends strict liability to AI software by December 2026 [7]. Swiss Re identifies this as generating unaddressed exposures across liability lines [8].</w:t>
      </w:r>
    </w:p>
    <w:p w:rsidR="00000000" w:rsidDel="00000000" w:rsidP="00000000" w:rsidRDefault="00000000" w:rsidRPr="00000000" w14:paraId="00000005">
      <w:pPr>
        <w:spacing w:after="240" w:before="240" w:lineRule="auto"/>
        <w:rPr/>
      </w:pPr>
      <w:r w:rsidDel="00000000" w:rsidR="00000000" w:rsidRPr="00000000">
        <w:rPr>
          <w:rtl w:val="0"/>
        </w:rPr>
        <w:t xml:space="preserve">The mismatch creates an opportunity. Parametric coverage, paying out on observable outcomes such as throughput drops or accuracy drift, sidesteps causation [3]. Munich Re's aiSure backs warranties, letting providers offer guaranteed accuracy thresholds [9]. Whoever solves the underwriting problem first builds a claims history no rival can access [8].</w:t>
      </w:r>
      <w:r w:rsidDel="00000000" w:rsidR="00000000" w:rsidRPr="00000000">
        <w:rPr>
          <w:rtl w:val="0"/>
        </w:rPr>
      </w:r>
    </w:p>
    <w:p w:rsidR="00000000" w:rsidDel="00000000" w:rsidP="00000000" w:rsidRDefault="00000000" w:rsidRPr="00000000" w14:paraId="00000006">
      <w:pPr>
        <w:spacing w:after="240" w:before="240" w:lineRule="auto"/>
        <w:rPr/>
      </w:pPr>
      <w:r w:rsidDel="00000000" w:rsidR="00000000" w:rsidRPr="00000000">
        <w:rPr>
          <w:rtl w:val="0"/>
        </w:rPr>
        <w:t xml:space="preserve">“</w:t>
      </w:r>
      <w:commentRangeStart w:id="0"/>
      <w:r w:rsidDel="00000000" w:rsidR="00000000" w:rsidRPr="00000000">
        <w:rPr>
          <w:rtl w:val="0"/>
        </w:rPr>
        <w:t xml:space="preserve">Our</w:t>
      </w:r>
      <w:r w:rsidDel="00000000" w:rsidR="00000000" w:rsidRPr="00000000">
        <w:rPr>
          <w:rtl w:val="0"/>
        </w:rPr>
        <w:t xml:space="preserve"> underwriting focuses on the AI model itself, what it does, and how its outputs are used, rather than the insured’s respective industry. That opens the product to any company commercializing AI...” - </w:t>
      </w:r>
      <w:r w:rsidDel="00000000" w:rsidR="00000000" w:rsidRPr="00000000">
        <w:rPr>
          <w:rtl w:val="0"/>
        </w:rPr>
        <w:t xml:space="preserve">Dennis Bertram, Mosaic AI </w:t>
      </w:r>
      <w:r w:rsidDel="00000000" w:rsidR="00000000" w:rsidRPr="00000000">
        <w:rPr>
          <w:rtl w:val="0"/>
        </w:rPr>
        <w:t xml:space="preserve">[11]</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References:</w:t>
      </w:r>
    </w:p>
    <w:p w:rsidR="00000000" w:rsidDel="00000000" w:rsidP="00000000" w:rsidRDefault="00000000" w:rsidRPr="00000000" w14:paraId="00000009">
      <w:pPr>
        <w:numPr>
          <w:ilvl w:val="0"/>
          <w:numId w:val="1"/>
        </w:numPr>
        <w:spacing w:after="0" w:afterAutospacing="0" w:before="240" w:lineRule="auto"/>
        <w:ind w:left="720" w:right="600" w:hanging="360"/>
      </w:pPr>
      <w:r w:rsidDel="00000000" w:rsidR="00000000" w:rsidRPr="00000000">
        <w:rPr>
          <w:rtl w:val="0"/>
        </w:rPr>
        <w:t xml:space="preserve">Buiten MC. Product liability for defective AI. </w:t>
      </w:r>
      <w:r w:rsidDel="00000000" w:rsidR="00000000" w:rsidRPr="00000000">
        <w:rPr>
          <w:i w:val="1"/>
          <w:iCs w:val="1"/>
          <w:rtl w:val="0"/>
        </w:rPr>
        <w:t xml:space="preserve">Eur J Law Econ.</w:t>
      </w:r>
      <w:r w:rsidDel="00000000" w:rsidR="00000000" w:rsidRPr="00000000">
        <w:rPr>
          <w:rtl w:val="0"/>
        </w:rPr>
        <w:t xml:space="preserve"> 2024;57(1):239-273.</w:t>
      </w:r>
      <w:hyperlink r:id="rId7">
        <w:r w:rsidDel="00000000" w:rsidR="00000000" w:rsidRPr="00000000">
          <w:rPr>
            <w:rtl w:val="0"/>
          </w:rPr>
          <w:t xml:space="preserve"> </w:t>
        </w:r>
      </w:hyperlink>
      <w:hyperlink r:id="rId8">
        <w:r w:rsidDel="00000000" w:rsidR="00000000" w:rsidRPr="00000000">
          <w:rPr>
            <w:color w:val="1155cc"/>
            <w:u w:val="single"/>
            <w:rtl w:val="0"/>
          </w:rPr>
          <w:t xml:space="preserve">https://doi.org/10.1007/s10657-024-09794-z</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A">
      <w:pPr>
        <w:numPr>
          <w:ilvl w:val="0"/>
          <w:numId w:val="1"/>
        </w:numPr>
        <w:spacing w:after="0" w:afterAutospacing="0" w:before="0" w:beforeAutospacing="0" w:lineRule="auto"/>
        <w:ind w:left="720" w:right="600" w:hanging="360"/>
      </w:pPr>
      <w:r w:rsidDel="00000000" w:rsidR="00000000" w:rsidRPr="00000000">
        <w:rPr>
          <w:rtl w:val="0"/>
        </w:rPr>
        <w:t xml:space="preserve">Smith G, Stanley KD, Marcinek K, Cormarie P, Gunashekar S. </w:t>
      </w:r>
      <w:r w:rsidDel="00000000" w:rsidR="00000000" w:rsidRPr="00000000">
        <w:rPr>
          <w:i w:val="1"/>
          <w:iCs w:val="1"/>
          <w:rtl w:val="0"/>
        </w:rPr>
        <w:t xml:space="preserve">Liability for Harms from AI Systems: The Application of U.S. Tort Law and Liability to Harms from Artificial Intelligence Systems.</w:t>
      </w:r>
      <w:r w:rsidDel="00000000" w:rsidR="00000000" w:rsidRPr="00000000">
        <w:rPr>
          <w:rtl w:val="0"/>
        </w:rPr>
        <w:t xml:space="preserve"> Santa Monica, CA: RAND Corporation; 2024. Report No. RR-A3243-4.Accessed 31 March 2026.</w:t>
      </w:r>
      <w:hyperlink r:id="rId9">
        <w:r w:rsidDel="00000000" w:rsidR="00000000" w:rsidRPr="00000000">
          <w:rPr>
            <w:rtl w:val="0"/>
          </w:rPr>
          <w:t xml:space="preserve"> </w:t>
        </w:r>
      </w:hyperlink>
      <w:hyperlink r:id="rId10">
        <w:r w:rsidDel="00000000" w:rsidR="00000000" w:rsidRPr="00000000">
          <w:rPr>
            <w:color w:val="1155cc"/>
            <w:u w:val="single"/>
            <w:rtl w:val="0"/>
          </w:rPr>
          <w:t xml:space="preserve">https://www.rand.org/pubs/research_reports/RRA3243-4.html</w:t>
        </w:r>
      </w:hyperlink>
      <w:r w:rsidDel="00000000" w:rsidR="00000000" w:rsidRPr="00000000">
        <w:rPr>
          <w:rtl w:val="0"/>
        </w:rPr>
      </w:r>
    </w:p>
    <w:p w:rsidR="00000000" w:rsidDel="00000000" w:rsidP="00000000" w:rsidRDefault="00000000" w:rsidRPr="00000000" w14:paraId="0000000B">
      <w:pPr>
        <w:numPr>
          <w:ilvl w:val="0"/>
          <w:numId w:val="1"/>
        </w:numPr>
        <w:spacing w:after="0" w:afterAutospacing="0" w:before="0" w:beforeAutospacing="0" w:lineRule="auto"/>
        <w:ind w:left="720" w:right="600" w:hanging="360"/>
      </w:pPr>
      <w:r w:rsidDel="00000000" w:rsidR="00000000" w:rsidRPr="00000000">
        <w:rPr>
          <w:rtl w:val="0"/>
        </w:rPr>
        <w:t xml:space="preserve">Lior A. Insuring AI: The role of insurance in artificial intelligence regulation. </w:t>
      </w:r>
      <w:r w:rsidDel="00000000" w:rsidR="00000000" w:rsidRPr="00000000">
        <w:rPr>
          <w:i w:val="1"/>
          <w:iCs w:val="1"/>
          <w:rtl w:val="0"/>
        </w:rPr>
        <w:t xml:space="preserve">Harv J Law Technol.</w:t>
      </w:r>
      <w:r w:rsidDel="00000000" w:rsidR="00000000" w:rsidRPr="00000000">
        <w:rPr>
          <w:rtl w:val="0"/>
        </w:rPr>
        <w:t xml:space="preserve"> 2022;35(2).Accessed 31 March 2026.</w:t>
      </w:r>
      <w:hyperlink r:id="rId11">
        <w:r w:rsidDel="00000000" w:rsidR="00000000" w:rsidRPr="00000000">
          <w:rPr>
            <w:rtl w:val="0"/>
          </w:rPr>
          <w:t xml:space="preserve"> </w:t>
        </w:r>
      </w:hyperlink>
      <w:hyperlink r:id="rId12">
        <w:r w:rsidDel="00000000" w:rsidR="00000000" w:rsidRPr="00000000">
          <w:rPr>
            <w:color w:val="1155cc"/>
            <w:u w:val="single"/>
            <w:rtl w:val="0"/>
          </w:rPr>
          <w:t xml:space="preserve">https://jolt.law.harvard.edu/assets/articlePDFs/v35/2.-Lior-Insuring-AI.pdf</w:t>
        </w:r>
      </w:hyperlink>
      <w:r w:rsidDel="00000000" w:rsidR="00000000" w:rsidRPr="00000000">
        <w:rPr>
          <w:rtl w:val="0"/>
        </w:rPr>
      </w:r>
    </w:p>
    <w:p w:rsidR="00000000" w:rsidDel="00000000" w:rsidP="00000000" w:rsidRDefault="00000000" w:rsidRPr="00000000" w14:paraId="0000000C">
      <w:pPr>
        <w:numPr>
          <w:ilvl w:val="0"/>
          <w:numId w:val="1"/>
        </w:numPr>
        <w:spacing w:after="0" w:afterAutospacing="0" w:before="0" w:beforeAutospacing="0" w:lineRule="auto"/>
        <w:ind w:left="720" w:right="600" w:hanging="360"/>
      </w:pPr>
      <w:r w:rsidDel="00000000" w:rsidR="00000000" w:rsidRPr="00000000">
        <w:rPr>
          <w:rtl w:val="0"/>
        </w:rPr>
        <w:t xml:space="preserve">Kennedys Law. Silent AI cover: the unforeseen risks for insurers. Kennedys; 2025.Accessed 31 March 2026.</w:t>
      </w:r>
      <w:hyperlink r:id="rId13">
        <w:r w:rsidDel="00000000" w:rsidR="00000000" w:rsidRPr="00000000">
          <w:rPr>
            <w:rtl w:val="0"/>
          </w:rPr>
          <w:t xml:space="preserve"> </w:t>
        </w:r>
      </w:hyperlink>
      <w:hyperlink r:id="rId14">
        <w:r w:rsidDel="00000000" w:rsidR="00000000" w:rsidRPr="00000000">
          <w:rPr>
            <w:color w:val="1155cc"/>
            <w:u w:val="single"/>
            <w:rtl w:val="0"/>
          </w:rPr>
          <w:t xml:space="preserve">https://www.kennedyslaw.com/en/thought-leadership/article/2025/silent-ai-cover-the-unforeseen-risks-for-insurers/</w:t>
        </w:r>
      </w:hyperlink>
      <w:r w:rsidDel="00000000" w:rsidR="00000000" w:rsidRPr="00000000">
        <w:rPr>
          <w:rtl w:val="0"/>
        </w:rPr>
      </w:r>
    </w:p>
    <w:p w:rsidR="00000000" w:rsidDel="00000000" w:rsidP="00000000" w:rsidRDefault="00000000" w:rsidRPr="00000000" w14:paraId="0000000D">
      <w:pPr>
        <w:numPr>
          <w:ilvl w:val="0"/>
          <w:numId w:val="1"/>
        </w:numPr>
        <w:spacing w:after="0" w:afterAutospacing="0" w:before="0" w:beforeAutospacing="0" w:lineRule="auto"/>
        <w:ind w:left="720" w:right="600" w:hanging="360"/>
      </w:pPr>
      <w:r w:rsidDel="00000000" w:rsidR="00000000" w:rsidRPr="00000000">
        <w:rPr>
          <w:rtl w:val="0"/>
        </w:rPr>
        <w:t xml:space="preserve">Hunton Andrews Kurth LLP. The continued proliferation of AI exclusions. </w:t>
      </w:r>
      <w:r w:rsidDel="00000000" w:rsidR="00000000" w:rsidRPr="00000000">
        <w:rPr>
          <w:i w:val="1"/>
          <w:iCs w:val="1"/>
          <w:rtl w:val="0"/>
        </w:rPr>
        <w:t xml:space="preserve">Natl Law Rev.</w:t>
      </w:r>
      <w:r w:rsidDel="00000000" w:rsidR="00000000" w:rsidRPr="00000000">
        <w:rPr>
          <w:rtl w:val="0"/>
        </w:rPr>
        <w:t xml:space="preserve"> 2025.Accessed 31 March 2026.</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https://natlawreview.com/article/continued-proliferation-ai-exclusions</w:t>
        </w:r>
      </w:hyperlink>
      <w:r w:rsidDel="00000000" w:rsidR="00000000" w:rsidRPr="00000000">
        <w:rPr>
          <w:rtl w:val="0"/>
        </w:rPr>
      </w:r>
    </w:p>
    <w:p w:rsidR="00000000" w:rsidDel="00000000" w:rsidP="00000000" w:rsidRDefault="00000000" w:rsidRPr="00000000" w14:paraId="0000000E">
      <w:pPr>
        <w:numPr>
          <w:ilvl w:val="0"/>
          <w:numId w:val="1"/>
        </w:numPr>
        <w:spacing w:after="0" w:afterAutospacing="0" w:before="0" w:beforeAutospacing="0" w:lineRule="auto"/>
        <w:ind w:left="720" w:right="600" w:hanging="360"/>
      </w:pPr>
      <w:r w:rsidDel="00000000" w:rsidR="00000000" w:rsidRPr="00000000">
        <w:rPr>
          <w:rtl w:val="0"/>
        </w:rPr>
        <w:t xml:space="preserve">European Commission. AI Act: Rules for High-Risk AI Systems. Digital Strategy; 2024.Accessed 31 March 2026.</w:t>
      </w:r>
      <w:hyperlink r:id="rId17">
        <w:r w:rsidDel="00000000" w:rsidR="00000000" w:rsidRPr="00000000">
          <w:rPr>
            <w:rtl w:val="0"/>
          </w:rPr>
          <w:t xml:space="preserve"> </w:t>
        </w:r>
      </w:hyperlink>
      <w:hyperlink r:id="rId18">
        <w:r w:rsidDel="00000000" w:rsidR="00000000" w:rsidRPr="00000000">
          <w:rPr>
            <w:color w:val="1155cc"/>
            <w:u w:val="single"/>
            <w:rtl w:val="0"/>
          </w:rPr>
          <w:t xml:space="preserve">https://digital-strategy.ec.europa.eu/en/policies/regulatory-framework-ai</w:t>
        </w:r>
      </w:hyperlink>
      <w:r w:rsidDel="00000000" w:rsidR="00000000" w:rsidRPr="00000000">
        <w:rPr>
          <w:rtl w:val="0"/>
        </w:rPr>
      </w:r>
    </w:p>
    <w:p w:rsidR="00000000" w:rsidDel="00000000" w:rsidP="00000000" w:rsidRDefault="00000000" w:rsidRPr="00000000" w14:paraId="0000000F">
      <w:pPr>
        <w:numPr>
          <w:ilvl w:val="0"/>
          <w:numId w:val="1"/>
        </w:numPr>
        <w:spacing w:after="0" w:afterAutospacing="0" w:before="0" w:beforeAutospacing="0" w:lineRule="auto"/>
        <w:ind w:left="720" w:right="600" w:hanging="360"/>
      </w:pPr>
      <w:r w:rsidDel="00000000" w:rsidR="00000000" w:rsidRPr="00000000">
        <w:rPr>
          <w:rtl w:val="0"/>
        </w:rPr>
        <w:t xml:space="preserve">European Parliament and Council. Directive (EU) 2024/2853 of 23 October 2024 on liability for defective products. </w:t>
      </w:r>
      <w:r w:rsidDel="00000000" w:rsidR="00000000" w:rsidRPr="00000000">
        <w:rPr>
          <w:i w:val="1"/>
          <w:iCs w:val="1"/>
          <w:rtl w:val="0"/>
        </w:rPr>
        <w:t xml:space="preserve">Off J Eur Union.</w:t>
      </w:r>
      <w:r w:rsidDel="00000000" w:rsidR="00000000" w:rsidRPr="00000000">
        <w:rPr>
          <w:rtl w:val="0"/>
        </w:rPr>
        <w:t xml:space="preserve"> 2024.Accessed 31 March 2026.</w:t>
      </w:r>
      <w:hyperlink r:id="rId19">
        <w:r w:rsidDel="00000000" w:rsidR="00000000" w:rsidRPr="00000000">
          <w:rPr>
            <w:rtl w:val="0"/>
          </w:rPr>
          <w:t xml:space="preserve"> </w:t>
        </w:r>
      </w:hyperlink>
      <w:hyperlink r:id="rId20">
        <w:r w:rsidDel="00000000" w:rsidR="00000000" w:rsidRPr="00000000">
          <w:rPr>
            <w:color w:val="1155cc"/>
            <w:u w:val="single"/>
            <w:rtl w:val="0"/>
          </w:rPr>
          <w:t xml:space="preserve">https://eur-lex.europa.eu/eli/dir/2024/2853/oj/eng</w:t>
        </w:r>
      </w:hyperlink>
      <w:r w:rsidDel="00000000" w:rsidR="00000000" w:rsidRPr="00000000">
        <w:rPr>
          <w:rtl w:val="0"/>
        </w:rPr>
      </w:r>
    </w:p>
    <w:p w:rsidR="00000000" w:rsidDel="00000000" w:rsidP="00000000" w:rsidRDefault="00000000" w:rsidRPr="00000000" w14:paraId="00000010">
      <w:pPr>
        <w:numPr>
          <w:ilvl w:val="0"/>
          <w:numId w:val="1"/>
        </w:numPr>
        <w:spacing w:after="0" w:afterAutospacing="0" w:before="0" w:beforeAutospacing="0" w:lineRule="auto"/>
        <w:ind w:left="720" w:right="600" w:hanging="360"/>
      </w:pPr>
      <w:r w:rsidDel="00000000" w:rsidR="00000000" w:rsidRPr="00000000">
        <w:rPr>
          <w:rtl w:val="0"/>
        </w:rPr>
        <w:t xml:space="preserve">Swiss Re Institute. Sigma Insights 01/2026: AI adoption is reshaping the risk landscape. Swiss Re; 2026.Accessed 31 March 2026.</w:t>
      </w:r>
      <w:hyperlink r:id="rId21">
        <w:r w:rsidDel="00000000" w:rsidR="00000000" w:rsidRPr="00000000">
          <w:rPr>
            <w:rtl w:val="0"/>
          </w:rPr>
          <w:t xml:space="preserve"> </w:t>
        </w:r>
      </w:hyperlink>
      <w:hyperlink r:id="rId22">
        <w:r w:rsidDel="00000000" w:rsidR="00000000" w:rsidRPr="00000000">
          <w:rPr>
            <w:color w:val="1155cc"/>
            <w:u w:val="single"/>
            <w:rtl w:val="0"/>
          </w:rPr>
          <w:t xml:space="preserve">https://www.swissre.com/institute/research/sigma-research/sigma-insights-01-2026-AI-adoption-is-reshaping-the-risk-landscape.html</w:t>
        </w:r>
      </w:hyperlink>
      <w:r w:rsidDel="00000000" w:rsidR="00000000" w:rsidRPr="00000000">
        <w:rPr>
          <w:rtl w:val="0"/>
        </w:rPr>
      </w:r>
    </w:p>
    <w:p w:rsidR="00000000" w:rsidDel="00000000" w:rsidP="00000000" w:rsidRDefault="00000000" w:rsidRPr="00000000" w14:paraId="00000011">
      <w:pPr>
        <w:numPr>
          <w:ilvl w:val="0"/>
          <w:numId w:val="1"/>
        </w:numPr>
        <w:spacing w:after="0" w:afterAutospacing="0" w:before="0" w:beforeAutospacing="0" w:lineRule="auto"/>
        <w:ind w:left="720" w:right="600" w:hanging="360"/>
      </w:pPr>
      <w:r w:rsidDel="00000000" w:rsidR="00000000" w:rsidRPr="00000000">
        <w:rPr>
          <w:rtl w:val="0"/>
        </w:rPr>
        <w:t xml:space="preserve">Munich Re. aiSure: More AI opportunity, less AI risk. Munich Re; 2025.Accessed 31 March 2026.</w:t>
      </w:r>
      <w:hyperlink r:id="rId23">
        <w:r w:rsidDel="00000000" w:rsidR="00000000" w:rsidRPr="00000000">
          <w:rPr>
            <w:rtl w:val="0"/>
          </w:rPr>
          <w:t xml:space="preserve"> </w:t>
        </w:r>
      </w:hyperlink>
      <w:hyperlink r:id="rId24">
        <w:r w:rsidDel="00000000" w:rsidR="00000000" w:rsidRPr="00000000">
          <w:rPr>
            <w:color w:val="1155cc"/>
            <w:u w:val="single"/>
            <w:rtl w:val="0"/>
          </w:rPr>
          <w:t xml:space="preserve">https://www.munichre.com/en/solutions/for-industry-clients/insure-ai.html</w:t>
        </w:r>
      </w:hyperlink>
      <w:r w:rsidDel="00000000" w:rsidR="00000000" w:rsidRPr="00000000">
        <w:rPr>
          <w:rtl w:val="0"/>
        </w:rPr>
      </w:r>
    </w:p>
    <w:p w:rsidR="00000000" w:rsidDel="00000000" w:rsidP="00000000" w:rsidRDefault="00000000" w:rsidRPr="00000000" w14:paraId="00000012">
      <w:pPr>
        <w:numPr>
          <w:ilvl w:val="0"/>
          <w:numId w:val="1"/>
        </w:numPr>
        <w:spacing w:after="0" w:afterAutospacing="0" w:before="0" w:beforeAutospacing="0" w:lineRule="auto"/>
        <w:ind w:left="720" w:right="600" w:hanging="360"/>
        <w:rPr>
          <w:u w:val="none"/>
        </w:rPr>
      </w:pPr>
      <w:r w:rsidDel="00000000" w:rsidR="00000000" w:rsidRPr="00000000">
        <w:rPr>
          <w:b w:val="1"/>
          <w:bCs w:val="1"/>
          <w:rtl w:val="0"/>
        </w:rPr>
        <w:t xml:space="preserve">Regulation (EU) 2024/1689 of the European Parliament and of the Council of 13 June 2024 laying down harmonised rules on artificial intelligence (Artificial Intelligence Act).</w:t>
      </w:r>
      <w:r w:rsidDel="00000000" w:rsidR="00000000" w:rsidRPr="00000000">
        <w:rPr>
          <w:rtl w:val="0"/>
        </w:rPr>
        <w:t xml:space="preserve"> Off J Eur Union. 2024. Accessed March 30, 2026.</w:t>
      </w:r>
      <w:hyperlink r:id="rId25">
        <w:r w:rsidDel="00000000" w:rsidR="00000000" w:rsidRPr="00000000">
          <w:rPr>
            <w:rtl w:val="0"/>
          </w:rPr>
          <w:t xml:space="preserve"> </w:t>
        </w:r>
      </w:hyperlink>
      <w:hyperlink r:id="rId26">
        <w:r w:rsidDel="00000000" w:rsidR="00000000" w:rsidRPr="00000000">
          <w:rPr>
            <w:color w:val="1155cc"/>
            <w:u w:val="single"/>
            <w:rtl w:val="0"/>
          </w:rPr>
          <w:t xml:space="preserve">https://eur-lex.europa.eu/eli/reg/2024/1689/oj/eng</w:t>
        </w:r>
      </w:hyperlink>
      <w:r w:rsidDel="00000000" w:rsidR="00000000" w:rsidRPr="00000000">
        <w:rPr>
          <w:rtl w:val="0"/>
        </w:rPr>
      </w:r>
    </w:p>
    <w:p w:rsidR="00000000" w:rsidDel="00000000" w:rsidP="00000000" w:rsidRDefault="00000000" w:rsidRPr="00000000" w14:paraId="00000013">
      <w:pPr>
        <w:numPr>
          <w:ilvl w:val="0"/>
          <w:numId w:val="1"/>
        </w:numPr>
        <w:spacing w:after="240" w:before="0" w:beforeAutospacing="0" w:lineRule="auto"/>
        <w:ind w:left="720" w:right="600" w:hanging="360"/>
        <w:jc w:val="left"/>
        <w:rPr>
          <w:u w:val="none"/>
        </w:rPr>
      </w:pPr>
      <w:r w:rsidDel="00000000" w:rsidR="00000000" w:rsidRPr="00000000">
        <w:rPr>
          <w:rtl w:val="0"/>
        </w:rPr>
        <w:t xml:space="preserve">Mosaic Insurance. Mosaic partners with Munich Re's aiSure™ to provide pioneering coverage for AI vendors. Published February 26, 2026. Accessed March 31, 2026. </w:t>
      </w:r>
      <w:hyperlink r:id="rId27">
        <w:r w:rsidDel="00000000" w:rsidR="00000000" w:rsidRPr="00000000">
          <w:rPr>
            <w:color w:val="1155cc"/>
            <w:u w:val="single"/>
            <w:rtl w:val="0"/>
          </w:rPr>
          <w:t xml:space="preserve">https://www.mosaicinsurance.com/resources/press-releases/~/mosaic-partners-with-munich-res-aisure-to-provide-pioneering-coverage-for-ai-vendors/</w:t>
        </w:r>
      </w:hyperlink>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oritz Hawener" w:id="0" w:date="2026-03-31T17:33:36Z">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am not sure how this statement supports the space. It basically says they have an insurance product that focuses on the underwriting model.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 you maybe check another source?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bCs w:val="1"/>
      <w:color w:val="5b9bd5"/>
      <w:sz w:val="24"/>
      <w:szCs w:val="24"/>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pPr>
    <w:rPr>
      <w:rFonts w:ascii="Avenir" w:cs="Avenir" w:eastAsia="Avenir" w:hAnsi="Avenir"/>
      <w:b w:val="1"/>
      <w:bCs w:val="1"/>
      <w:color w:val="024ea2"/>
      <w:sz w:val="15"/>
      <w:szCs w:val="15"/>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eur-lex.europa.eu/eli/dir/2024/2853/oj/eng" TargetMode="External"/><Relationship Id="rId22" Type="http://schemas.openxmlformats.org/officeDocument/2006/relationships/hyperlink" Target="https://www.swissre.com/institute/research/sigma-research/sigma-insights-01-2026-AI-adoption-is-reshaping-the-risk-landscape.html" TargetMode="External"/><Relationship Id="rId21" Type="http://schemas.openxmlformats.org/officeDocument/2006/relationships/hyperlink" Target="https://www.swissre.com/institute/research/sigma-research/sigma-insights-01-2026-AI-adoption-is-reshaping-the-risk-landscape.html" TargetMode="External"/><Relationship Id="rId24" Type="http://schemas.openxmlformats.org/officeDocument/2006/relationships/hyperlink" Target="https://www.munichre.com/en/solutions/for-industry-clients/insure-ai.html" TargetMode="External"/><Relationship Id="rId23" Type="http://schemas.openxmlformats.org/officeDocument/2006/relationships/hyperlink" Target="https://www.munichre.com/en/solutions/for-industry-clients/insure-ai.html"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rand.org/pubs/research_reports/RRA3243-4.html" TargetMode="External"/><Relationship Id="rId26" Type="http://schemas.openxmlformats.org/officeDocument/2006/relationships/hyperlink" Target="https://eur-lex.europa.eu/eli/reg/2024/1689/oj/eng" TargetMode="External"/><Relationship Id="rId25" Type="http://schemas.openxmlformats.org/officeDocument/2006/relationships/hyperlink" Target="https://eur-lex.europa.eu/eli/reg/2024/1689/oj/eng?utm_source=chatgpt.com" TargetMode="External"/><Relationship Id="rId27" Type="http://schemas.openxmlformats.org/officeDocument/2006/relationships/hyperlink" Target="https://www.mosaicinsurance.com/resources/press-releases/~/mosaic-partners-with-munich-res-aisure-to-provide-pioneering-coverage-for-ai-vendors/"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i.org/10.1007/s10657-024-09794-z" TargetMode="External"/><Relationship Id="rId8" Type="http://schemas.openxmlformats.org/officeDocument/2006/relationships/hyperlink" Target="https://doi.org/10.1007/s10657-024-09794-z" TargetMode="External"/><Relationship Id="rId11" Type="http://schemas.openxmlformats.org/officeDocument/2006/relationships/hyperlink" Target="https://jolt.law.harvard.edu/assets/articlePDFs/v35/2.-Lior-Insuring-AI.pdf" TargetMode="External"/><Relationship Id="rId10" Type="http://schemas.openxmlformats.org/officeDocument/2006/relationships/hyperlink" Target="https://www.rand.org/pubs/research_reports/RRA3243-4.html" TargetMode="External"/><Relationship Id="rId13" Type="http://schemas.openxmlformats.org/officeDocument/2006/relationships/hyperlink" Target="https://www.kennedyslaw.com/en/thought-leadership/article/2025/silent-ai-cover-the-unforeseen-risks-for-insurers/" TargetMode="External"/><Relationship Id="rId12" Type="http://schemas.openxmlformats.org/officeDocument/2006/relationships/hyperlink" Target="https://jolt.law.harvard.edu/assets/articlePDFs/v35/2.-Lior-Insuring-AI.pdf" TargetMode="External"/><Relationship Id="rId15" Type="http://schemas.openxmlformats.org/officeDocument/2006/relationships/hyperlink" Target="https://natlawreview.com/article/continued-proliferation-ai-exclusions" TargetMode="External"/><Relationship Id="rId14" Type="http://schemas.openxmlformats.org/officeDocument/2006/relationships/hyperlink" Target="https://www.kennedyslaw.com/en/thought-leadership/article/2025/silent-ai-cover-the-unforeseen-risks-for-insurers/" TargetMode="External"/><Relationship Id="rId17" Type="http://schemas.openxmlformats.org/officeDocument/2006/relationships/hyperlink" Target="https://digital-strategy.ec.europa.eu/en/policies/regulatory-framework-ai" TargetMode="External"/><Relationship Id="rId16" Type="http://schemas.openxmlformats.org/officeDocument/2006/relationships/hyperlink" Target="https://natlawreview.com/article/continued-proliferation-ai-exclusions" TargetMode="External"/><Relationship Id="rId19" Type="http://schemas.openxmlformats.org/officeDocument/2006/relationships/hyperlink" Target="https://eur-lex.europa.eu/eli/dir/2024/2853/oj/eng" TargetMode="External"/><Relationship Id="rId18" Type="http://schemas.openxmlformats.org/officeDocument/2006/relationships/hyperlink" Target="https://digital-strategy.ec.europa.eu/en/policies/regulatory-framework-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