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INDUSTRIAL AI INSURANCE FRONTIER</w:t>
      </w:r>
    </w:p>
    <w:p w:rsidR="00000000" w:rsidDel="00000000" w:rsidP="00000000" w:rsidRDefault="00000000" w:rsidRPr="00000000" w14:paraId="00000002">
      <w:pPr>
        <w:rPr>
          <w:b w:val="1"/>
          <w:bCs w:val="1"/>
          <w:sz w:val="18"/>
          <w:szCs w:val="18"/>
        </w:rPr>
      </w:pPr>
      <w:r w:rsidDel="00000000" w:rsidR="00000000" w:rsidRPr="00000000">
        <w:rPr>
          <w:b w:val="1"/>
          <w:bCs w:val="1"/>
          <w:sz w:val="18"/>
          <w:szCs w:val="18"/>
          <w:rtl w:val="0"/>
        </w:rPr>
        <w:t xml:space="preserve">Turning Industrial AI Risk Into a Real-Time Insurance Opportunity</w:t>
      </w:r>
    </w:p>
    <w:p w:rsidR="00000000" w:rsidDel="00000000" w:rsidP="00000000" w:rsidRDefault="00000000" w:rsidRPr="00000000" w14:paraId="00000003">
      <w:pPr>
        <w:rPr>
          <w:b w:val="1"/>
          <w:bCs w:val="1"/>
          <w:sz w:val="18"/>
          <w:szCs w:val="18"/>
        </w:rPr>
      </w:pPr>
      <w:r w:rsidDel="00000000" w:rsidR="00000000" w:rsidRPr="00000000">
        <w:rPr>
          <w:rtl w:val="0"/>
        </w:rPr>
      </w:r>
    </w:p>
    <w:p w:rsidR="00000000" w:rsidDel="00000000" w:rsidP="00000000" w:rsidRDefault="00000000" w:rsidRPr="00000000" w14:paraId="00000004">
      <w:pPr>
        <w:rPr>
          <w:sz w:val="14"/>
          <w:szCs w:val="14"/>
        </w:rPr>
      </w:pPr>
      <w:r w:rsidDel="00000000" w:rsidR="00000000" w:rsidRPr="00000000">
        <w:rPr>
          <w:sz w:val="14"/>
          <w:szCs w:val="14"/>
          <w:rtl w:val="0"/>
        </w:rPr>
        <w:t xml:space="preserve">The convergence of industrial AI, cyber-physical systems, and operational data is changing not only how factories operate but also how risk is observed, assessed, and managed [9]. </w:t>
      </w:r>
      <w:r w:rsidDel="00000000" w:rsidR="00000000" w:rsidRPr="00000000">
        <w:rPr>
          <w:sz w:val="14"/>
          <w:szCs w:val="14"/>
          <w:rtl w:val="0"/>
        </w:rPr>
        <w:t xml:space="preserve">As production systems become more connected and autonomous, they create new forms of uncertainty that challenge traditional insurance logic [10,11].</w:t>
      </w:r>
      <w:r w:rsidDel="00000000" w:rsidR="00000000" w:rsidRPr="00000000">
        <w:rPr>
          <w:sz w:val="14"/>
          <w:szCs w:val="14"/>
          <w:rtl w:val="0"/>
        </w:rPr>
        <w:t xml:space="preserve"> These include uncertainty about model behavior, failures under distributional shifts, and risks arising from interactions among models, machines, and physical environments [1,2]. In industrial settings, such failures can create safety risks and complicate the attribution of responsibility when harm occurs [2,3]. Traditional liability frameworks are often built around linear notions of causation, negligence, and fault, making them an imperfect fit for AI-driven systems whose behavior can be probabilistic, adaptive, and difficult to interpret [3].</w:t>
      </w:r>
    </w:p>
    <w:p w:rsidR="00000000" w:rsidDel="00000000" w:rsidP="00000000" w:rsidRDefault="00000000" w:rsidRPr="00000000" w14:paraId="00000005">
      <w:pPr>
        <w:spacing w:after="240" w:before="240" w:lineRule="auto"/>
        <w:rPr>
          <w:sz w:val="14"/>
          <w:szCs w:val="14"/>
        </w:rPr>
      </w:pPr>
      <w:r w:rsidDel="00000000" w:rsidR="00000000" w:rsidRPr="00000000">
        <w:rPr>
          <w:sz w:val="14"/>
          <w:szCs w:val="14"/>
          <w:rtl w:val="0"/>
        </w:rPr>
        <w:t xml:space="preserve">At the same time, this transformation makes risk more observable. Connected assets, sensors, and digital infrastructures generate growing volumes of operational data that, in principle, can improve risk assessment, pricing, and claims processes [5,6,8]. Yet insurers often still face fragmented, incomplete, or difficult-to-use data environments, limiting the effectiveness with which this data can be incorporated into underwriting and claims decisions [4,8]. These limitations leave a gap between the data-rich environments of modern industrial systems and the information insurers can reliably use in practice [4,6,8].</w:t>
      </w:r>
    </w:p>
    <w:p w:rsidR="00000000" w:rsidDel="00000000" w:rsidP="00000000" w:rsidRDefault="00000000" w:rsidRPr="00000000" w14:paraId="00000006">
      <w:pPr>
        <w:spacing w:after="240" w:before="240" w:lineRule="auto"/>
        <w:rPr>
          <w:sz w:val="14"/>
          <w:szCs w:val="14"/>
        </w:rPr>
      </w:pPr>
      <w:r w:rsidDel="00000000" w:rsidR="00000000" w:rsidRPr="00000000">
        <w:rPr>
          <w:sz w:val="14"/>
          <w:szCs w:val="14"/>
          <w:rtl w:val="0"/>
        </w:rPr>
        <w:t xml:space="preserve">This mismatch defines an opportunity space at the intersection of insurance and industrial AI. Digital twins and connected risk models could support more forward-looking risk assessment and scenario analysis before losses occur [6]. More broadly, recent insurance literature points toward a shift in which technology supports not only retrospective compensation, but also more continuous forms of monitoring, risk reduction, and prevention [5,8]. At the same time, AI-related failure modes may create coverage ambiguity because losses can be context-dependent, and assigning responsibility across software developers, equipment manufacturers, integrators, and plant operators can be difficult [1,3]. Better sensor data, remote monitoring, and more automated claims workflows also create the potential for faster and more accurate claims handling [4,7,8].</w:t>
      </w:r>
    </w:p>
    <w:p w:rsidR="00000000" w:rsidDel="00000000" w:rsidP="00000000" w:rsidRDefault="00000000" w:rsidRPr="00000000" w14:paraId="00000007">
      <w:pPr>
        <w:spacing w:after="240" w:before="240" w:lineRule="auto"/>
        <w:rPr>
          <w:sz w:val="14"/>
          <w:szCs w:val="14"/>
        </w:rPr>
      </w:pPr>
      <w:r w:rsidDel="00000000" w:rsidR="00000000" w:rsidRPr="00000000">
        <w:rPr>
          <w:sz w:val="14"/>
          <w:szCs w:val="14"/>
          <w:rtl w:val="0"/>
        </w:rPr>
        <w:t xml:space="preserve">Taken together, these developments suggest that insurance in industrial AI may become more continuous, embedded, and operational. Rather than only absorbing losses after harm occurs, insurers and adjacent players may increasingly help measure, simulate, price, and prevent risk in near real-time [5,6,8]. Such a transition expands the opportunity beyond conventional policies toward AI-enabled underwriting, dynamic coverage models, digital assurance, and prevention tools built more directly into industrial operations [5,6,7,8].</w:t>
      </w:r>
    </w:p>
    <w:p w:rsidR="00000000" w:rsidDel="00000000" w:rsidP="00000000" w:rsidRDefault="00000000" w:rsidRPr="00000000" w14:paraId="00000008">
      <w:pPr>
        <w:spacing w:line="240" w:lineRule="auto"/>
        <w:rPr>
          <w:sz w:val="14"/>
          <w:szCs w:val="14"/>
        </w:rPr>
      </w:pPr>
      <w:r w:rsidDel="00000000" w:rsidR="00000000" w:rsidRPr="00000000">
        <w:rPr>
          <w:rtl w:val="0"/>
        </w:rPr>
      </w:r>
    </w:p>
    <w:p w:rsidR="00000000" w:rsidDel="00000000" w:rsidP="00000000" w:rsidRDefault="00000000" w:rsidRPr="00000000" w14:paraId="00000009">
      <w:pPr>
        <w:spacing w:line="240" w:lineRule="auto"/>
        <w:rPr>
          <w:sz w:val="14"/>
          <w:szCs w:val="14"/>
        </w:rPr>
      </w:pPr>
      <w:r w:rsidDel="00000000" w:rsidR="00000000" w:rsidRPr="00000000">
        <w:rPr>
          <w:sz w:val="14"/>
          <w:szCs w:val="14"/>
          <w:rtl w:val="0"/>
        </w:rPr>
        <w:t xml:space="preserve">References: </w:t>
      </w:r>
    </w:p>
    <w:p w:rsidR="00000000" w:rsidDel="00000000" w:rsidP="00000000" w:rsidRDefault="00000000" w:rsidRPr="00000000" w14:paraId="0000000A">
      <w:pPr>
        <w:spacing w:line="240" w:lineRule="auto"/>
        <w:rPr>
          <w:sz w:val="14"/>
          <w:szCs w:val="14"/>
        </w:rPr>
      </w:pPr>
      <w:r w:rsidDel="00000000" w:rsidR="00000000" w:rsidRPr="00000000">
        <w:rPr>
          <w:rtl w:val="0"/>
        </w:rPr>
      </w:r>
    </w:p>
    <w:p w:rsidR="00000000" w:rsidDel="00000000" w:rsidP="00000000" w:rsidRDefault="00000000" w:rsidRPr="00000000" w14:paraId="0000000B">
      <w:pPr>
        <w:numPr>
          <w:ilvl w:val="0"/>
          <w:numId w:val="1"/>
        </w:numPr>
        <w:spacing w:line="240" w:lineRule="auto"/>
        <w:ind w:left="720" w:hanging="360"/>
        <w:rPr>
          <w:sz w:val="14"/>
          <w:szCs w:val="14"/>
          <w:u w:val="none"/>
        </w:rPr>
      </w:pPr>
      <w:r w:rsidDel="00000000" w:rsidR="00000000" w:rsidRPr="00000000">
        <w:rPr>
          <w:sz w:val="14"/>
          <w:szCs w:val="14"/>
          <w:rtl w:val="0"/>
        </w:rPr>
        <w:t xml:space="preserve">Amodei D, Olah C, Steinhardt J, Christiano P, Schulman J, Mané D. Concrete problems in AI safety. arXiv.org. Published 21. Juni 2016. </w:t>
      </w:r>
      <w:r w:rsidDel="00000000" w:rsidR="00000000" w:rsidRPr="00000000">
        <w:rPr>
          <w:rtl w:val="0"/>
        </w:rPr>
        <w:t xml:space="preserve">Accessed 31 March 2026. </w:t>
      </w:r>
      <w:hyperlink r:id="rId6">
        <w:r w:rsidDel="00000000" w:rsidR="00000000" w:rsidRPr="00000000">
          <w:rPr>
            <w:color w:val="1155cc"/>
            <w:sz w:val="14"/>
            <w:szCs w:val="14"/>
            <w:u w:val="single"/>
            <w:rtl w:val="0"/>
          </w:rPr>
          <w:t xml:space="preserve">https://arxiv.org/abs/1606.06565</w:t>
        </w:r>
      </w:hyperlink>
      <w:r w:rsidDel="00000000" w:rsidR="00000000" w:rsidRPr="00000000">
        <w:rPr>
          <w:sz w:val="14"/>
          <w:szCs w:val="14"/>
          <w:rtl w:val="0"/>
        </w:rPr>
        <w:t xml:space="preserve"> [1]</w:t>
      </w:r>
      <w:r w:rsidDel="00000000" w:rsidR="00000000" w:rsidRPr="00000000">
        <w:rPr>
          <w:rtl w:val="0"/>
        </w:rPr>
      </w:r>
    </w:p>
    <w:p w:rsidR="00000000" w:rsidDel="00000000" w:rsidP="00000000" w:rsidRDefault="00000000" w:rsidRPr="00000000" w14:paraId="0000000C">
      <w:pPr>
        <w:numPr>
          <w:ilvl w:val="0"/>
          <w:numId w:val="1"/>
        </w:numPr>
        <w:spacing w:line="240" w:lineRule="auto"/>
        <w:ind w:left="720" w:hanging="360"/>
        <w:rPr>
          <w:sz w:val="14"/>
          <w:szCs w:val="14"/>
          <w:u w:val="none"/>
        </w:rPr>
      </w:pPr>
      <w:r w:rsidDel="00000000" w:rsidR="00000000" w:rsidRPr="00000000">
        <w:rPr>
          <w:sz w:val="14"/>
          <w:szCs w:val="14"/>
          <w:rtl w:val="0"/>
        </w:rPr>
        <w:t xml:space="preserve">Varshney KR. Engineering safety in machine learning. arXiv.org. Published January 16, 2016. </w:t>
      </w:r>
      <w:r w:rsidDel="00000000" w:rsidR="00000000" w:rsidRPr="00000000">
        <w:rPr>
          <w:rtl w:val="0"/>
        </w:rPr>
        <w:t xml:space="preserve">Accessed 31 March 2026. </w:t>
      </w:r>
      <w:hyperlink r:id="rId7">
        <w:r w:rsidDel="00000000" w:rsidR="00000000" w:rsidRPr="00000000">
          <w:rPr>
            <w:color w:val="1155cc"/>
            <w:sz w:val="14"/>
            <w:szCs w:val="14"/>
            <w:u w:val="single"/>
            <w:rtl w:val="0"/>
          </w:rPr>
          <w:t xml:space="preserve">https://arxiv.org/abs/1601.04126</w:t>
        </w:r>
      </w:hyperlink>
      <w:r w:rsidDel="00000000" w:rsidR="00000000" w:rsidRPr="00000000">
        <w:rPr>
          <w:sz w:val="14"/>
          <w:szCs w:val="14"/>
          <w:rtl w:val="0"/>
        </w:rPr>
        <w:t xml:space="preserve"> [2]</w:t>
      </w:r>
      <w:r w:rsidDel="00000000" w:rsidR="00000000" w:rsidRPr="00000000">
        <w:rPr>
          <w:rtl w:val="0"/>
        </w:rPr>
      </w:r>
    </w:p>
    <w:p w:rsidR="00000000" w:rsidDel="00000000" w:rsidP="00000000" w:rsidRDefault="00000000" w:rsidRPr="00000000" w14:paraId="0000000D">
      <w:pPr>
        <w:numPr>
          <w:ilvl w:val="0"/>
          <w:numId w:val="1"/>
        </w:numPr>
        <w:spacing w:line="240" w:lineRule="auto"/>
        <w:ind w:left="720" w:hanging="360"/>
        <w:rPr>
          <w:sz w:val="14"/>
          <w:szCs w:val="14"/>
          <w:u w:val="none"/>
        </w:rPr>
      </w:pPr>
      <w:r w:rsidDel="00000000" w:rsidR="00000000" w:rsidRPr="00000000">
        <w:rPr>
          <w:sz w:val="14"/>
          <w:szCs w:val="14"/>
          <w:rtl w:val="0"/>
        </w:rPr>
        <w:t xml:space="preserve">Abbott R. The Reasonable Robot: Artificial Intelligence and the Law. Cambridge University Press eBooks. Published online 15. Juni 2020. </w:t>
      </w:r>
      <w:hyperlink r:id="rId8">
        <w:r w:rsidDel="00000000" w:rsidR="00000000" w:rsidRPr="00000000">
          <w:rPr>
            <w:color w:val="1155cc"/>
            <w:sz w:val="14"/>
            <w:szCs w:val="14"/>
            <w:u w:val="single"/>
            <w:rtl w:val="0"/>
          </w:rPr>
          <w:t xml:space="preserve">doi.org/10.1017/9781108631761</w:t>
        </w:r>
      </w:hyperlink>
      <w:r w:rsidDel="00000000" w:rsidR="00000000" w:rsidRPr="00000000">
        <w:rPr>
          <w:sz w:val="14"/>
          <w:szCs w:val="14"/>
          <w:rtl w:val="0"/>
        </w:rPr>
        <w:t xml:space="preserve"> [3]</w:t>
      </w:r>
      <w:r w:rsidDel="00000000" w:rsidR="00000000" w:rsidRPr="00000000">
        <w:rPr>
          <w:rtl w:val="0"/>
        </w:rPr>
      </w:r>
    </w:p>
    <w:p w:rsidR="00000000" w:rsidDel="00000000" w:rsidP="00000000" w:rsidRDefault="00000000" w:rsidRPr="00000000" w14:paraId="0000000E">
      <w:pPr>
        <w:numPr>
          <w:ilvl w:val="0"/>
          <w:numId w:val="1"/>
        </w:numPr>
        <w:spacing w:line="240" w:lineRule="auto"/>
        <w:ind w:left="720" w:hanging="360"/>
        <w:rPr>
          <w:sz w:val="14"/>
          <w:szCs w:val="14"/>
          <w:u w:val="none"/>
        </w:rPr>
      </w:pPr>
      <w:r w:rsidDel="00000000" w:rsidR="00000000" w:rsidRPr="00000000">
        <w:rPr>
          <w:sz w:val="14"/>
          <w:szCs w:val="14"/>
          <w:rtl w:val="0"/>
        </w:rPr>
        <w:t xml:space="preserve">Nurse JR, Axon L, Erola A, Agrafiotis I, Goldsmith M, Creese S. The data that drives cyber insurance: a study into the underwriting and claims processes. CyberSA. 2020;1-8. doi:10.1109/cybersa49311.2020.9139703. </w:t>
      </w:r>
      <w:r w:rsidDel="00000000" w:rsidR="00000000" w:rsidRPr="00000000">
        <w:rPr>
          <w:sz w:val="14"/>
          <w:szCs w:val="14"/>
          <w:rtl w:val="0"/>
        </w:rPr>
        <w:t xml:space="preserve"> [4]</w:t>
      </w:r>
    </w:p>
    <w:p w:rsidR="00000000" w:rsidDel="00000000" w:rsidP="00000000" w:rsidRDefault="00000000" w:rsidRPr="00000000" w14:paraId="0000000F">
      <w:pPr>
        <w:numPr>
          <w:ilvl w:val="0"/>
          <w:numId w:val="1"/>
        </w:numPr>
        <w:spacing w:line="240" w:lineRule="auto"/>
        <w:ind w:left="720" w:hanging="360"/>
        <w:rPr>
          <w:sz w:val="14"/>
          <w:szCs w:val="14"/>
          <w:u w:val="none"/>
        </w:rPr>
      </w:pPr>
      <w:r w:rsidDel="00000000" w:rsidR="00000000" w:rsidRPr="00000000">
        <w:rPr>
          <w:sz w:val="14"/>
          <w:szCs w:val="14"/>
          <w:rtl w:val="0"/>
        </w:rPr>
        <w:t xml:space="preserve">Swiss Re. Insurance 3.0: Reimagining insurance with technology. Published September 5, 2023. Accessed March 31, 2026. </w:t>
      </w:r>
      <w:hyperlink r:id="rId9">
        <w:r w:rsidDel="00000000" w:rsidR="00000000" w:rsidRPr="00000000">
          <w:rPr>
            <w:color w:val="1155cc"/>
            <w:sz w:val="14"/>
            <w:szCs w:val="14"/>
            <w:u w:val="single"/>
            <w:rtl w:val="0"/>
          </w:rPr>
          <w:t xml:space="preserve">https://www.swissre.com/risk-knowledge/risk-perspectives-blog/reimagining-insurance-with-technology.html</w:t>
        </w:r>
      </w:hyperlink>
      <w:r w:rsidDel="00000000" w:rsidR="00000000" w:rsidRPr="00000000">
        <w:rPr>
          <w:sz w:val="14"/>
          <w:szCs w:val="14"/>
          <w:rtl w:val="0"/>
        </w:rPr>
        <w:t xml:space="preserve"> [5]</w:t>
      </w:r>
    </w:p>
    <w:p w:rsidR="00000000" w:rsidDel="00000000" w:rsidP="00000000" w:rsidRDefault="00000000" w:rsidRPr="00000000" w14:paraId="00000010">
      <w:pPr>
        <w:numPr>
          <w:ilvl w:val="0"/>
          <w:numId w:val="1"/>
        </w:numPr>
        <w:spacing w:line="240" w:lineRule="auto"/>
        <w:ind w:left="720" w:hanging="360"/>
        <w:rPr>
          <w:sz w:val="14"/>
          <w:szCs w:val="14"/>
          <w:u w:val="none"/>
        </w:rPr>
      </w:pPr>
      <w:r w:rsidDel="00000000" w:rsidR="00000000" w:rsidRPr="00000000">
        <w:rPr>
          <w:sz w:val="14"/>
          <w:szCs w:val="14"/>
          <w:rtl w:val="0"/>
        </w:rPr>
        <w:t xml:space="preserve">Spindler C, Hoehener J, de Wolf M, Tymoshenko O, editors. </w:t>
      </w:r>
      <w:r w:rsidDel="00000000" w:rsidR="00000000" w:rsidRPr="00000000">
        <w:rPr>
          <w:i w:val="1"/>
          <w:iCs w:val="1"/>
          <w:sz w:val="14"/>
          <w:szCs w:val="14"/>
          <w:rtl w:val="0"/>
        </w:rPr>
        <w:t xml:space="preserve">Data Logistics and AI in Insurance Risk Management</w:t>
      </w:r>
      <w:r w:rsidDel="00000000" w:rsidR="00000000" w:rsidRPr="00000000">
        <w:rPr>
          <w:sz w:val="14"/>
          <w:szCs w:val="14"/>
          <w:rtl w:val="0"/>
        </w:rPr>
        <w:t xml:space="preserve">. International Data Spaces Association; 2020. </w:t>
      </w:r>
      <w:r w:rsidDel="00000000" w:rsidR="00000000" w:rsidRPr="00000000">
        <w:rPr>
          <w:rtl w:val="0"/>
        </w:rPr>
        <w:t xml:space="preserve">Accessed 31 March 2026. </w:t>
      </w:r>
      <w:r w:rsidDel="00000000" w:rsidR="00000000" w:rsidRPr="00000000">
        <w:rPr>
          <w:sz w:val="14"/>
          <w:szCs w:val="14"/>
          <w:rtl w:val="0"/>
        </w:rPr>
        <w:t xml:space="preserve"> </w:t>
      </w:r>
      <w:hyperlink r:id="rId10">
        <w:r w:rsidDel="00000000" w:rsidR="00000000" w:rsidRPr="00000000">
          <w:rPr>
            <w:color w:val="1155cc"/>
            <w:sz w:val="14"/>
            <w:szCs w:val="14"/>
            <w:u w:val="single"/>
            <w:rtl w:val="0"/>
          </w:rPr>
          <w:t xml:space="preserve">https://www.academia.edu/95230346/Data_Logistics_and_Ai_in_Insurance_Risk_Management</w:t>
        </w:r>
      </w:hyperlink>
      <w:r w:rsidDel="00000000" w:rsidR="00000000" w:rsidRPr="00000000">
        <w:rPr>
          <w:sz w:val="14"/>
          <w:szCs w:val="14"/>
          <w:rtl w:val="0"/>
        </w:rPr>
        <w:t xml:space="preserve"> [6]</w:t>
      </w:r>
    </w:p>
    <w:p w:rsidR="00000000" w:rsidDel="00000000" w:rsidP="00000000" w:rsidRDefault="00000000" w:rsidRPr="00000000" w14:paraId="00000011">
      <w:pPr>
        <w:numPr>
          <w:ilvl w:val="0"/>
          <w:numId w:val="1"/>
        </w:numPr>
        <w:spacing w:line="240" w:lineRule="auto"/>
        <w:ind w:left="720" w:hanging="360"/>
        <w:jc w:val="left"/>
        <w:rPr>
          <w:sz w:val="14"/>
          <w:szCs w:val="14"/>
          <w:u w:val="none"/>
        </w:rPr>
      </w:pPr>
      <w:r w:rsidDel="00000000" w:rsidR="00000000" w:rsidRPr="00000000">
        <w:rPr>
          <w:sz w:val="14"/>
          <w:szCs w:val="14"/>
          <w:rtl w:val="0"/>
        </w:rPr>
        <w:t xml:space="preserve">Krishnakanthan K, McElhaney D, Milinkovich N, Pradhan A. How top tech trends will transform insurance. McKinsey &amp; Company. Published September 30, 2021. Accessed March 31, 2026. </w:t>
      </w:r>
      <w:hyperlink r:id="rId11">
        <w:r w:rsidDel="00000000" w:rsidR="00000000" w:rsidRPr="00000000">
          <w:rPr>
            <w:color w:val="1155cc"/>
            <w:sz w:val="14"/>
            <w:szCs w:val="14"/>
            <w:u w:val="single"/>
            <w:rtl w:val="0"/>
          </w:rPr>
          <w:t xml:space="preserve">https://www.mckinsey.com/industries/financial-services/our-insights/how-top-tech-trends-will-transform-insurance</w:t>
        </w:r>
      </w:hyperlink>
      <w:r w:rsidDel="00000000" w:rsidR="00000000" w:rsidRPr="00000000">
        <w:rPr>
          <w:sz w:val="14"/>
          <w:szCs w:val="14"/>
          <w:rtl w:val="0"/>
        </w:rPr>
        <w:t xml:space="preserve"> [7]</w:t>
      </w:r>
    </w:p>
    <w:p w:rsidR="00000000" w:rsidDel="00000000" w:rsidP="00000000" w:rsidRDefault="00000000" w:rsidRPr="00000000" w14:paraId="00000012">
      <w:pPr>
        <w:numPr>
          <w:ilvl w:val="0"/>
          <w:numId w:val="1"/>
        </w:numPr>
        <w:spacing w:line="240" w:lineRule="auto"/>
        <w:ind w:left="720" w:hanging="360"/>
        <w:jc w:val="left"/>
        <w:rPr>
          <w:sz w:val="14"/>
          <w:szCs w:val="14"/>
        </w:rPr>
      </w:pPr>
      <w:r w:rsidDel="00000000" w:rsidR="00000000" w:rsidRPr="00000000">
        <w:rPr>
          <w:sz w:val="14"/>
          <w:szCs w:val="14"/>
          <w:rtl w:val="0"/>
        </w:rPr>
        <w:t xml:space="preserve">OECD. </w:t>
      </w:r>
      <w:r w:rsidDel="00000000" w:rsidR="00000000" w:rsidRPr="00000000">
        <w:rPr>
          <w:i w:val="1"/>
          <w:iCs w:val="1"/>
          <w:sz w:val="14"/>
          <w:szCs w:val="14"/>
          <w:rtl w:val="0"/>
        </w:rPr>
        <w:t xml:space="preserve">Leveraging Technology in Insurance to Enhance Risk Assessment and Policyholder Risk Reduction.</w:t>
      </w:r>
      <w:r w:rsidDel="00000000" w:rsidR="00000000" w:rsidRPr="00000000">
        <w:rPr>
          <w:sz w:val="14"/>
          <w:szCs w:val="14"/>
          <w:rtl w:val="0"/>
        </w:rPr>
        <w:t xml:space="preserve"> OECD; December 13, 2023. </w:t>
      </w:r>
      <w:hyperlink r:id="rId12">
        <w:r w:rsidDel="00000000" w:rsidR="00000000" w:rsidRPr="00000000">
          <w:rPr>
            <w:color w:val="0660ef"/>
            <w:sz w:val="14"/>
            <w:szCs w:val="14"/>
            <w:highlight w:val="white"/>
            <w:u w:val="single"/>
            <w:rtl w:val="0"/>
          </w:rPr>
          <w:t xml:space="preserve">https://doi.org/10.1787/2f5c18ac-en</w:t>
        </w:r>
      </w:hyperlink>
      <w:r w:rsidDel="00000000" w:rsidR="00000000" w:rsidRPr="00000000">
        <w:rPr>
          <w:color w:val="586179"/>
          <w:sz w:val="14"/>
          <w:szCs w:val="14"/>
          <w:highlight w:val="white"/>
          <w:rtl w:val="0"/>
        </w:rPr>
        <w:t xml:space="preserve">.</w:t>
      </w:r>
      <w:r w:rsidDel="00000000" w:rsidR="00000000" w:rsidRPr="00000000">
        <w:rPr>
          <w:sz w:val="14"/>
          <w:szCs w:val="14"/>
          <w:rtl w:val="0"/>
        </w:rPr>
        <w:t xml:space="preserve">[8]</w:t>
      </w:r>
    </w:p>
    <w:p w:rsidR="00000000" w:rsidDel="00000000" w:rsidP="00000000" w:rsidRDefault="00000000" w:rsidRPr="00000000" w14:paraId="00000013">
      <w:pPr>
        <w:numPr>
          <w:ilvl w:val="0"/>
          <w:numId w:val="1"/>
        </w:numPr>
        <w:spacing w:line="240" w:lineRule="auto"/>
        <w:ind w:left="720" w:hanging="360"/>
        <w:jc w:val="left"/>
        <w:rPr>
          <w:sz w:val="14"/>
          <w:szCs w:val="14"/>
          <w:u w:val="none"/>
        </w:rPr>
      </w:pPr>
      <w:r w:rsidDel="00000000" w:rsidR="00000000" w:rsidRPr="00000000">
        <w:rPr>
          <w:sz w:val="14"/>
          <w:szCs w:val="14"/>
          <w:rtl w:val="0"/>
        </w:rPr>
        <w:t xml:space="preserve">Srivastava R, Prashar A, Iyer S, Gotise P. Insurance in the Industry 4.0 environment: a literature review, synthesis, and research agenda. Aust J Manag. 2022;49(2):290-312. doi:10.1177/03128962221132458 [9]</w:t>
      </w:r>
    </w:p>
    <w:p w:rsidR="00000000" w:rsidDel="00000000" w:rsidP="00000000" w:rsidRDefault="00000000" w:rsidRPr="00000000" w14:paraId="00000014">
      <w:pPr>
        <w:numPr>
          <w:ilvl w:val="0"/>
          <w:numId w:val="1"/>
        </w:numPr>
        <w:spacing w:line="240" w:lineRule="auto"/>
        <w:ind w:left="720" w:hanging="360"/>
        <w:jc w:val="left"/>
        <w:rPr>
          <w:sz w:val="14"/>
          <w:szCs w:val="14"/>
          <w:u w:val="none"/>
        </w:rPr>
      </w:pPr>
      <w:r w:rsidDel="00000000" w:rsidR="00000000" w:rsidRPr="00000000">
        <w:rPr>
          <w:sz w:val="14"/>
          <w:szCs w:val="14"/>
          <w:rtl w:val="0"/>
        </w:rPr>
        <w:t xml:space="preserve">Eling M, Lehmann M. The impact of digitalization on the insurance value chain and the insurability of risks. Geneva Pap Risk Insur. 2018;43(3):359-396. doi:10.1057/s41288-017-0073-0</w:t>
      </w:r>
    </w:p>
    <w:p w:rsidR="00000000" w:rsidDel="00000000" w:rsidP="00000000" w:rsidRDefault="00000000" w:rsidRPr="00000000" w14:paraId="00000015">
      <w:pPr>
        <w:numPr>
          <w:ilvl w:val="0"/>
          <w:numId w:val="1"/>
        </w:numPr>
        <w:spacing w:line="240" w:lineRule="auto"/>
        <w:ind w:left="720" w:hanging="360"/>
        <w:jc w:val="left"/>
        <w:rPr>
          <w:sz w:val="14"/>
          <w:szCs w:val="14"/>
          <w:u w:val="none"/>
        </w:rPr>
      </w:pPr>
      <w:r w:rsidDel="00000000" w:rsidR="00000000" w:rsidRPr="00000000">
        <w:rPr>
          <w:sz w:val="14"/>
          <w:szCs w:val="14"/>
          <w:rtl w:val="0"/>
        </w:rPr>
        <w:t xml:space="preserve">Kayan H, Nunes M, Rana O, Burnap P, Perera C. Cybersecurity of industrial cyber-physical systems: a review. ACM Comput Surv. 2022;54(11s):1-35. doi:10.1145/3510410</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line="240" w:lineRule="auto"/>
      <w:jc w:val="both"/>
    </w:pPr>
    <w:rPr>
      <w:rFonts w:ascii="Avenir" w:cs="Avenir" w:eastAsia="Avenir" w:hAnsi="Avenir"/>
      <w:b w:val="1"/>
      <w:bCs w:val="1"/>
      <w:color w:val="5b9bd5"/>
      <w:sz w:val="24"/>
      <w:szCs w:val="24"/>
    </w:rPr>
  </w:style>
  <w:style w:type="paragraph" w:styleId="Heading2">
    <w:name w:val="heading 2"/>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pPr>
    <w:rPr>
      <w:rFonts w:ascii="Avenir" w:cs="Avenir" w:eastAsia="Avenir" w:hAnsi="Avenir"/>
      <w:b w:val="1"/>
      <w:bCs w:val="1"/>
      <w:color w:val="024ea2"/>
      <w:sz w:val="15"/>
      <w:szCs w:val="15"/>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mckinsey.com/industries/financial-services/our-insights/how-top-tech-trends-will-transform-insurance" TargetMode="External"/><Relationship Id="rId10" Type="http://schemas.openxmlformats.org/officeDocument/2006/relationships/hyperlink" Target="https://www.academia.edu/95230346/Data_Logistics_and_Ai_in_Insurance_Risk_Management" TargetMode="External"/><Relationship Id="rId12" Type="http://schemas.openxmlformats.org/officeDocument/2006/relationships/hyperlink" Target="https://doi.org/10.1787/2f5c18ac-en" TargetMode="External"/><Relationship Id="rId9" Type="http://schemas.openxmlformats.org/officeDocument/2006/relationships/hyperlink" Target="https://www.swissre.com/risk-knowledge/risk-perspectives-blog/reimagining-insurance-with-technology.html" TargetMode="External"/><Relationship Id="rId5" Type="http://schemas.openxmlformats.org/officeDocument/2006/relationships/styles" Target="styles.xml"/><Relationship Id="rId6" Type="http://schemas.openxmlformats.org/officeDocument/2006/relationships/hyperlink" Target="https://arxiv.org/abs/1606.06565" TargetMode="External"/><Relationship Id="rId7" Type="http://schemas.openxmlformats.org/officeDocument/2006/relationships/hyperlink" Target="https://arxiv.org/abs/1601.04126" TargetMode="External"/><Relationship Id="rId8" Type="http://schemas.openxmlformats.org/officeDocument/2006/relationships/hyperlink" Target="https://doi.org/10.1017/97811086317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