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b w:val="1"/>
          <w:bCs w:val="1"/>
          <w:color w:val="5b9bd5"/>
          <w:sz w:val="24"/>
          <w:szCs w:val="24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5b9bd5"/>
          <w:sz w:val="24"/>
          <w:szCs w:val="24"/>
          <w:rtl w:val="0"/>
        </w:rPr>
        <w:t xml:space="preserve">DISTRIBUTED FACTORY INTELLIGENCE</w:t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rFonts w:ascii="Avenir" w:cs="Avenir" w:eastAsia="Avenir" w:hAnsi="Avenir"/>
          <w:sz w:val="18"/>
          <w:szCs w:val="18"/>
        </w:rPr>
      </w:pPr>
      <w:r w:rsidDel="00000000" w:rsidR="00000000" w:rsidRPr="00000000">
        <w:rPr>
          <w:rFonts w:ascii="Avenir" w:cs="Avenir" w:eastAsia="Avenir" w:hAnsi="Avenir"/>
          <w:sz w:val="18"/>
          <w:szCs w:val="18"/>
          <w:rtl w:val="0"/>
        </w:rPr>
        <w:t xml:space="preserve">Breaking Automation Silos with an Interoperable Intelligence Layer</w:t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Today's factory software stack remains constrained by vendor-specific integrations, monolithic </w:t>
      </w:r>
      <w:commentRangeStart w:id="0"/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MES/SCADA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logic, and brittle point-to-point automation that breaks when product mix, routing, or machine state changes [1]. That is why we are seeing a transition from isolated islands of equipment into a new paradigm that treats the factory as a distributed physical system [2]. Standards such as </w:t>
      </w:r>
      <w:commentRangeStart w:id="1"/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VDA 5050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are beginning to normalize fleet interoperability [3], and initiatives focused on adapters that enable legacy equipment to communicate with new management systems [4] create new opportunities for management optimization.</w:t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Multi-agent systems offer a powerful way to orchestrate this network. Each asset operates autonomously, handling exceptions locally and avoiding the single points of failure, throughput ceilings, and compounding latency of centralized control [5,6]. A single agent with full context recreates this bottleneck in software. Coordination can degrade sequential tasks as handoffs fragment context [7], yet multi-agents show emergent robustness absent in single-agent setups [6].</w:t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While large OEMs can build proprietary stacks, mid-size manufacturers are limited by integration budgets and heterogeneous equipment, facing disproportionate barriers including high integration costs, limited IT capacity, and incompatible legacy systems [11]. Only around 30% of manufacturers have scaled digital solutions beyond pilot [9], and the middleware market is set to grow from $24.4B to $40.2B by 2033 [10], signaling a large underserved vertical for cross-vendor coordination.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="240" w:lineRule="auto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“The biggest gap is the integration layer that makes things work. It’s very hard for robot manufacturers to be globally competitive with different services.” - Benjamin Erhart, Partner at UVC Partners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00" w:line="24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References:</w:t>
      </w:r>
    </w:p>
    <w:p w:rsidR="00000000" w:rsidDel="00000000" w:rsidP="00000000" w:rsidRDefault="00000000" w:rsidRPr="00000000" w14:paraId="0000000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00" w:line="24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[1] Shojaeinasab A, Charter T, Jalayer M, et al. Intelligent manufacturing execution systems: a systematic review. Journal of Manufacturing Systems. 2022;62:503-522. doi:10.1016/j.jmsy.2022.01.004 </w:t>
      </w:r>
    </w:p>
    <w:p w:rsidR="00000000" w:rsidDel="00000000" w:rsidP="00000000" w:rsidRDefault="00000000" w:rsidRPr="00000000" w14:paraId="0000000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[2] Piperigkos N, Gkillas A, Arvanitis G, et al. Distributed intelligence in industrial and automotive cyber-physical systems: a review. Frontiers in Robotics and AI. 2024;11:1430740. doi:10.3389/frobt.2024.1430740 </w:t>
      </w:r>
    </w:p>
    <w:p w:rsidR="00000000" w:rsidDel="00000000" w:rsidP="00000000" w:rsidRDefault="00000000" w:rsidRPr="00000000" w14:paraId="0000000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[3] Verband der Automobilindustrie (VDA). Interface for the communication between automated guided vehicles (AGV) and a master control (VDA 5050). Version 2.1.0. January 2025. Published by VDA; 2025. Accessed 31 March 2026.</w:t>
      </w:r>
      <w:hyperlink r:id="rId7">
        <w:r w:rsidDel="00000000" w:rsidR="00000000" w:rsidRPr="00000000">
          <w:rPr>
            <w:rFonts w:ascii="Avenir" w:cs="Avenir" w:eastAsia="Avenir" w:hAnsi="Avenir"/>
            <w:color w:val="3c3f42"/>
            <w:sz w:val="15"/>
            <w:szCs w:val="15"/>
            <w:rtl w:val="0"/>
          </w:rPr>
          <w:t xml:space="preserve"> </w:t>
        </w:r>
      </w:hyperlink>
      <w:hyperlink r:id="rId8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https://www.vda.de/dam/jcr:f0c9c019-1506-4dee-998a-e92723fbf025/EN-VDA5050-V2_0_0.pdf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[4] Givehchi O, Landsdorf K, Simoens P, Colombo AW. Interoperability for industrial cyber-physical systems: an approach for legacy systems. IEEE Trans Ind Informatics. 2017;13(6):3370-3378. doi:10.1109/TII.2017.2740434.</w:t>
      </w:r>
    </w:p>
    <w:p w:rsidR="00000000" w:rsidDel="00000000" w:rsidP="00000000" w:rsidRDefault="00000000" w:rsidRPr="00000000" w14:paraId="0000000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[5] Luo X, Pan C, Liu Z, Wang L, Pang S, He L. A novel multi-agent reinforcement learning framework for robust exception handling of manufacturing service collaboration based on asymmetric information. Journal of Manufacturing Systems. 2025;79:364-382. doi:10.1016/j.jmsy.2025.01.016</w:t>
      </w:r>
    </w:p>
    <w:p w:rsidR="00000000" w:rsidDel="00000000" w:rsidP="00000000" w:rsidRDefault="00000000" w:rsidRPr="00000000" w14:paraId="0000000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[6] Boccella AR, Centobelli P, Cerchione R, Murino T, Riedel R. Evaluating centralized and heterarchical control of smart manufacturing systems in the era of Industry 4.0. Applied Sciences. 2020;10(3):755. doi:10.3390/app10030755</w:t>
      </w:r>
    </w:p>
    <w:p w:rsidR="00000000" w:rsidDel="00000000" w:rsidP="00000000" w:rsidRDefault="00000000" w:rsidRPr="00000000" w14:paraId="0000000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[7] Kim Y, Gu K, Park C, et al. Towards a science of scaling agent systems. Preprint. arXiv:2512.08296. Revised December 17, 2025. doi:10.48550/arXiv.2512.08296</w:t>
      </w:r>
    </w:p>
    <w:p w:rsidR="00000000" w:rsidDel="00000000" w:rsidP="00000000" w:rsidRDefault="00000000" w:rsidRPr="00000000" w14:paraId="0000001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jc w:val="both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[8] Chen W, Su Y, Zuo J, et al. AgentVerse: Facilitating Multi-Agent Collaboration and Exploring Emergent Behaviors. arXiv. Preprint posted online 2023. doi:10.48550/ARXIV.2308.10848</w:t>
        <w:br w:type="textWrapping"/>
        <w:t xml:space="preserve">[9] McKinsey &amp; Company. How digital manufacturing can escape pilot purgatory. McKinsey &amp; Company. Published 2018. Accessed April 1, 2026.</w:t>
      </w:r>
      <w:hyperlink r:id="rId9">
        <w:r w:rsidDel="00000000" w:rsidR="00000000" w:rsidRPr="00000000">
          <w:rPr>
            <w:rFonts w:ascii="Avenir" w:cs="Avenir" w:eastAsia="Avenir" w:hAnsi="Avenir"/>
            <w:color w:val="3c3f42"/>
            <w:sz w:val="15"/>
            <w:szCs w:val="15"/>
            <w:rtl w:val="0"/>
          </w:rPr>
          <w:t xml:space="preserve"> </w:t>
        </w:r>
      </w:hyperlink>
      <w:hyperlink r:id="rId10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https://www.mckinsey.com/capabilities/operations/our-insights/how-digital-manufacturing-can-escape-pilot-purgatory</w:t>
        </w:r>
      </w:hyperlink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br w:type="textWrapping"/>
        <w:t xml:space="preserve">[10] Newstrail. Integration and orchestration middleware market report. 2026.</w:t>
      </w:r>
      <w:hyperlink r:id="rId11">
        <w:r w:rsidDel="00000000" w:rsidR="00000000" w:rsidRPr="00000000">
          <w:rPr>
            <w:rFonts w:ascii="Avenir" w:cs="Avenir" w:eastAsia="Avenir" w:hAnsi="Avenir"/>
            <w:sz w:val="15"/>
            <w:szCs w:val="15"/>
            <w:rtl w:val="0"/>
          </w:rPr>
          <w:t xml:space="preserve"> </w:t>
        </w:r>
      </w:hyperlink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Accessed April 1, 2026.</w:t>
      </w:r>
      <w:hyperlink r:id="rId12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rtl w:val="0"/>
          </w:rPr>
          <w:t xml:space="preserve">https://www.newstrail.com/integration-orchestration-middleware-market-to-hit-40-2b-by-2033-at-7-4-cagr-growth/</w:t>
        </w:r>
      </w:hyperlink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br w:type="textWrapping"/>
        <w:t xml:space="preserve">[11] Modrak V, Soltysova Z. Barriers for Smart Manufacturing Implementation in SMEs: A Comprehensive Exploration and Practical Insights. Applied Sciences. 2025;15(19):10552. doi:10.3390/app151910552</w:t>
      </w:r>
    </w:p>
    <w:p w:rsidR="00000000" w:rsidDel="00000000" w:rsidP="00000000" w:rsidRDefault="00000000" w:rsidRPr="00000000" w14:paraId="0000001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jc w:val="both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jc w:val="both"/>
        <w:rPr>
          <w:rFonts w:ascii="Avenir" w:cs="Avenir" w:eastAsia="Avenir" w:hAnsi="Avenir"/>
          <w:color w:val="1155cc"/>
          <w:sz w:val="15"/>
          <w:szCs w:val="15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Noah Grohganz" w:id="1" w:date="2026-04-01T10:45:04Z"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ABBR ?</w:t>
      </w:r>
    </w:p>
  </w:comment>
  <w:comment w:author="Noah Grohganz" w:id="0" w:date="2026-04-01T10:24:31Z"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ABBR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veni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11" Type="http://schemas.openxmlformats.org/officeDocument/2006/relationships/hyperlink" Target="https://www.newstrail.com/integration-orchestration-middleware-market-to-hit-40-2b-by-2033-at-7-4-cagr-growth/" TargetMode="External"/><Relationship Id="rId10" Type="http://schemas.openxmlformats.org/officeDocument/2006/relationships/hyperlink" Target="https://www.mckinsey.com/capabilities/operations/our-insights/how-digital-manufacturing-can-escape-pilot-purgatory" TargetMode="External"/><Relationship Id="rId12" Type="http://schemas.openxmlformats.org/officeDocument/2006/relationships/hyperlink" Target="https://www.newstrail.com/integration-orchestration-middleware-market-to-hit-40-2b-by-2033-at-7-4-cagr-growth/" TargetMode="External"/><Relationship Id="rId9" Type="http://schemas.openxmlformats.org/officeDocument/2006/relationships/hyperlink" Target="https://www.mckinsey.com/capabilities/operations/our-insights/how-digital-manufacturing-can-escape-pilot-purgatory" TargetMode="Externa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yperlink" Target="https://www.vda.de/dam/jcr:f0c9c019-1506-4dee-998a-e92723fbf025/EN-VDA5050-V2_0_0.pdf" TargetMode="External"/><Relationship Id="rId8" Type="http://schemas.openxmlformats.org/officeDocument/2006/relationships/hyperlink" Target="https://www.vda.de/dam/jcr:f0c9c019-1506-4dee-998a-e92723fbf025/EN-VDA5050-V2_0_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