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5b9bd5"/>
          <w:sz w:val="24"/>
          <w:szCs w:val="24"/>
        </w:rPr>
      </w:pPr>
      <w:bookmarkStart w:colFirst="0" w:colLast="0" w:name="_5cinoofyo09e" w:id="0"/>
      <w:bookmarkEnd w:id="0"/>
      <w:r w:rsidDel="00000000" w:rsidR="00000000" w:rsidRPr="00000000">
        <w:rPr>
          <w:rFonts w:ascii="Avenir" w:cs="Avenir" w:eastAsia="Avenir" w:hAnsi="Avenir"/>
          <w:b w:val="1"/>
          <w:bCs w:val="1"/>
          <w:color w:val="5b9bd5"/>
          <w:sz w:val="24"/>
          <w:szCs w:val="24"/>
          <w:rtl w:val="0"/>
        </w:rPr>
        <w:t xml:space="preserve">Closing the E-Waste Loop</w:t>
      </w:r>
    </w:p>
    <w:p w:rsidR="00000000" w:rsidDel="00000000" w:rsidP="00000000" w:rsidRDefault="00000000" w:rsidRPr="00000000" w14:paraId="00000002">
      <w:pPr>
        <w:pBdr>
          <w:top w:color="000000" w:space="0" w:sz="0" w:val="none"/>
          <w:left w:color="000000" w:space="0" w:sz="0" w:val="none"/>
          <w:bottom w:color="000000" w:space="0" w:sz="0" w:val="none"/>
          <w:right w:color="000000" w:space="0" w:sz="0" w:val="none"/>
          <w:between w:color="000000" w:space="0" w:sz="0" w:val="none"/>
        </w:pBdr>
        <w:spacing w:line="360" w:lineRule="auto"/>
        <w:jc w:val="both"/>
        <w:rPr>
          <w:rFonts w:ascii="Avenir" w:cs="Avenir" w:eastAsia="Avenir" w:hAnsi="Avenir"/>
          <w:sz w:val="18"/>
          <w:szCs w:val="18"/>
        </w:rPr>
      </w:pPr>
      <w:r w:rsidDel="00000000" w:rsidR="00000000" w:rsidRPr="00000000">
        <w:rPr>
          <w:rFonts w:ascii="Avenir" w:cs="Avenir" w:eastAsia="Avenir" w:hAnsi="Avenir"/>
          <w:sz w:val="18"/>
          <w:szCs w:val="18"/>
          <w:rtl w:val="0"/>
        </w:rPr>
        <w:t xml:space="preserve">AI can Orchestrate Recycling Flows to Recover Critical Materials at Scale</w:t>
      </w:r>
    </w:p>
    <w:p w:rsidR="00000000" w:rsidDel="00000000" w:rsidP="00000000" w:rsidRDefault="00000000" w:rsidRPr="00000000" w14:paraId="00000003">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Industrial AI is increasing the demand for critical raw materials while making their recovery more difficult [1]. The increasing use of rare earths and the complexity of materials is challenging for recycling due to the high cost of dismantlement, inefficient collection systems, and costly recovery methods [2,15].</w:t>
      </w:r>
    </w:p>
    <w:p w:rsidR="00000000" w:rsidDel="00000000" w:rsidP="00000000" w:rsidRDefault="00000000" w:rsidRPr="00000000" w14:paraId="00000004">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05">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Despite an established legal framework, the EU collects only 37.5% of its e-waste, well below the 65% target [3]. There is no primary production of rare earth elements in the EU [13], and globally, only 1% of rare earths are typically recycled from end-of-life products [4,5]. Existing operators extract only what is easy to identify and economically worthwhile [7]. The rest is lost. </w:t>
      </w:r>
      <w:r w:rsidDel="00000000" w:rsidR="00000000" w:rsidRPr="00000000">
        <w:rPr>
          <w:rFonts w:ascii="Avenir" w:cs="Avenir" w:eastAsia="Avenir" w:hAnsi="Avenir"/>
          <w:color w:val="3c3f42"/>
          <w:sz w:val="15"/>
          <w:szCs w:val="15"/>
          <w:rtl w:val="0"/>
        </w:rPr>
        <w:t xml:space="preserve">What cannot be recovered economically is often processed in the Global South </w:t>
      </w:r>
      <w:r w:rsidDel="00000000" w:rsidR="00000000" w:rsidRPr="00000000">
        <w:rPr>
          <w:rFonts w:ascii="Avenir" w:cs="Avenir" w:eastAsia="Avenir" w:hAnsi="Avenir"/>
          <w:color w:val="3c3f42"/>
          <w:sz w:val="15"/>
          <w:szCs w:val="15"/>
          <w:rtl w:val="0"/>
        </w:rPr>
        <w:t xml:space="preserve">[8] under toxic,</w:t>
      </w:r>
      <w:r w:rsidDel="00000000" w:rsidR="00000000" w:rsidRPr="00000000">
        <w:rPr>
          <w:rFonts w:ascii="Avenir" w:cs="Avenir" w:eastAsia="Avenir" w:hAnsi="Avenir"/>
          <w:color w:val="3c3f42"/>
          <w:sz w:val="15"/>
          <w:szCs w:val="15"/>
          <w:rtl w:val="0"/>
        </w:rPr>
        <w:t xml:space="preserve"> uncontrolled conditions </w:t>
      </w:r>
      <w:r w:rsidDel="00000000" w:rsidR="00000000" w:rsidRPr="00000000">
        <w:rPr>
          <w:rFonts w:ascii="Avenir" w:cs="Avenir" w:eastAsia="Avenir" w:hAnsi="Avenir"/>
          <w:color w:val="3c3f42"/>
          <w:sz w:val="15"/>
          <w:szCs w:val="15"/>
          <w:rtl w:val="0"/>
        </w:rPr>
        <w:t xml:space="preserve">[12]. </w:t>
      </w:r>
    </w:p>
    <w:p w:rsidR="00000000" w:rsidDel="00000000" w:rsidP="00000000" w:rsidRDefault="00000000" w:rsidRPr="00000000" w14:paraId="00000006">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07">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The opportunity is the processing layer [9]. With AI as an orchestration layer, streams can be routed to the right process based on composition and market prices. Foundational concepts have already been demonstrated in adjacent circular economy applications [10]. Legally, the EU Critical Raw Materials Act requires 25% domestic recycling of strategic materials by 2030 [11]. However, no company has disrupted this layer at scale yet [9]. The collection infrastructure is operational, and the technology side is catching up. The opportunity lies in orchestrating the two. </w:t>
      </w:r>
      <w:r w:rsidDel="00000000" w:rsidR="00000000" w:rsidRPr="00000000">
        <w:rPr>
          <w:rtl w:val="0"/>
        </w:rPr>
      </w:r>
    </w:p>
    <w:p w:rsidR="00000000" w:rsidDel="00000000" w:rsidP="00000000" w:rsidRDefault="00000000" w:rsidRPr="00000000" w14:paraId="00000008">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09">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w:t>
      </w:r>
      <w:commentRangeStart w:id="0"/>
      <w:r w:rsidDel="00000000" w:rsidR="00000000" w:rsidRPr="00000000">
        <w:rPr>
          <w:rFonts w:ascii="Avenir" w:cs="Avenir" w:eastAsia="Avenir" w:hAnsi="Avenir"/>
          <w:color w:val="3c3f42"/>
          <w:sz w:val="15"/>
          <w:szCs w:val="15"/>
          <w:rtl w:val="0"/>
        </w:rPr>
        <w:t xml:space="preserve">Orchestrating different materials to specific processing methods. That's where new recycling has to happen. Chemical recycling, bio-based recycling, these kinds of things.</w:t>
      </w:r>
      <w:commentRangeEnd w:id="0"/>
      <w:r w:rsidDel="00000000" w:rsidR="00000000" w:rsidRPr="00000000">
        <w:commentReference w:id="0"/>
      </w:r>
      <w:r w:rsidDel="00000000" w:rsidR="00000000" w:rsidRPr="00000000">
        <w:rPr>
          <w:rFonts w:ascii="Avenir" w:cs="Avenir" w:eastAsia="Avenir" w:hAnsi="Avenir"/>
          <w:color w:val="3c3f42"/>
          <w:sz w:val="15"/>
          <w:szCs w:val="15"/>
          <w:rtl w:val="0"/>
        </w:rPr>
        <w:t xml:space="preserve">” - Partner, UVC Partners</w:t>
      </w:r>
    </w:p>
    <w:p w:rsidR="00000000" w:rsidDel="00000000" w:rsidP="00000000" w:rsidRDefault="00000000" w:rsidRPr="00000000" w14:paraId="0000000A">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0B">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8"/>
          <w:szCs w:val="18"/>
        </w:rPr>
      </w:pPr>
      <w:r w:rsidDel="00000000" w:rsidR="00000000" w:rsidRPr="00000000">
        <w:rPr>
          <w:rFonts w:ascii="Avenir" w:cs="Avenir" w:eastAsia="Avenir" w:hAnsi="Avenir"/>
          <w:color w:val="3c3f42"/>
          <w:sz w:val="18"/>
          <w:szCs w:val="18"/>
          <w:rtl w:val="0"/>
        </w:rPr>
        <w:t xml:space="preserve">References:</w:t>
      </w:r>
    </w:p>
    <w:p w:rsidR="00000000" w:rsidDel="00000000" w:rsidP="00000000" w:rsidRDefault="00000000" w:rsidRPr="00000000" w14:paraId="0000000C">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240" w:line="240" w:lineRule="auto"/>
        <w:ind w:left="720" w:hanging="360"/>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Leal Filho W, Kotter R, Özuyar PG, Abubakar IR, Eustachio JHPP, Matandirotya NR. Understanding rare earth elements as critical raw materials. Sustainability. 2023;15(3):1919. doi:10.3390/su15031919 </w:t>
      </w:r>
    </w:p>
    <w:p w:rsidR="00000000" w:rsidDel="00000000" w:rsidP="00000000" w:rsidRDefault="00000000" w:rsidRPr="00000000" w14:paraId="0000000D">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240" w:lineRule="auto"/>
        <w:ind w:left="720" w:hanging="360"/>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Fujita Y, McCall SK, Ginosar D. Recycling rare earths: perspectives and recent advances. MRS Bull. 2022;47(3):283–288. doi:10.1557/s43577-022-00301-w </w:t>
      </w:r>
    </w:p>
    <w:p w:rsidR="00000000" w:rsidDel="00000000" w:rsidP="00000000" w:rsidRDefault="00000000" w:rsidRPr="00000000" w14:paraId="0000000E">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240" w:lineRule="auto"/>
        <w:ind w:left="720" w:hanging="360"/>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Eurostat. Waste statistics - electrical and electronic equipment. Eurostat Statistics Explained. Published October 2025. Accessed March 19, 2026. https://ec.europa.eu/eurostat/statistics-explained/index.php?title=Waste_statistics_-_electrical_and_electronic_equipment</w:t>
      </w:r>
    </w:p>
    <w:p w:rsidR="00000000" w:rsidDel="00000000" w:rsidP="00000000" w:rsidRDefault="00000000" w:rsidRPr="00000000" w14:paraId="0000000F">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240" w:lineRule="auto"/>
        <w:ind w:left="720" w:hanging="360"/>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Danouche M, Bounaga A, Oulkhir A, Boulif R, Zeroual Y, Benhida R, Lyamlouli K. Advances in bio/chemical approaches for sustainable recycling and recovery of rare earth elements from secondary resources. Sci Total Environ. 2023; VOL:168811. doi:10.1016/j.scitotenv.2023.168811 </w:t>
      </w:r>
    </w:p>
    <w:p w:rsidR="00000000" w:rsidDel="00000000" w:rsidP="00000000" w:rsidRDefault="00000000" w:rsidRPr="00000000" w14:paraId="00000010">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240" w:lineRule="auto"/>
        <w:ind w:left="720" w:hanging="360"/>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Perrin MA, Dutheil P, Wörle M, Mougel V. Recovery of europium from E-waste using redox-active tetrathiotungstate ligands. Nat Commun. 2024;15:4577. doi:10.1038/s41467-024-48923-3 </w:t>
      </w:r>
    </w:p>
    <w:p w:rsidR="00000000" w:rsidDel="00000000" w:rsidP="00000000" w:rsidRDefault="00000000" w:rsidRPr="00000000" w14:paraId="00000011">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240" w:lineRule="auto"/>
        <w:ind w:left="720" w:hanging="360"/>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Eurostat. International trade in critical raw materials. Eurostat Statistics Explained. Published June 2025. Accessed March 17, 2026. </w:t>
      </w:r>
      <w:hyperlink r:id="rId7">
        <w:r w:rsidDel="00000000" w:rsidR="00000000" w:rsidRPr="00000000">
          <w:rPr>
            <w:rFonts w:ascii="Avenir" w:cs="Avenir" w:eastAsia="Avenir" w:hAnsi="Avenir"/>
            <w:color w:val="1155cc"/>
            <w:sz w:val="15"/>
            <w:szCs w:val="15"/>
            <w:u w:val="single"/>
            <w:rtl w:val="0"/>
          </w:rPr>
          <w:t xml:space="preserve">https://ec.europa.eu/eurostat/statistics-explained/index.php?title=International_trade_in_critical_raw_materials</w:t>
        </w:r>
      </w:hyperlink>
      <w:r w:rsidDel="00000000" w:rsidR="00000000" w:rsidRPr="00000000">
        <w:rPr>
          <w:rFonts w:ascii="Avenir" w:cs="Avenir" w:eastAsia="Avenir" w:hAnsi="Avenir"/>
          <w:color w:val="3c3f42"/>
          <w:sz w:val="15"/>
          <w:szCs w:val="15"/>
          <w:rtl w:val="0"/>
        </w:rPr>
        <w:t xml:space="preserve"> </w:t>
      </w:r>
    </w:p>
    <w:p w:rsidR="00000000" w:rsidDel="00000000" w:rsidP="00000000" w:rsidRDefault="00000000" w:rsidRPr="00000000" w14:paraId="00000012">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240" w:lineRule="auto"/>
        <w:ind w:left="720" w:hanging="360"/>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Bielowicz B. Waste as a source of critical raw materials — a new approach in the context of energy transition. Energies. 2025;18(8):2101. doi:10.3390/en18082101 </w:t>
      </w:r>
    </w:p>
    <w:p w:rsidR="00000000" w:rsidDel="00000000" w:rsidP="00000000" w:rsidRDefault="00000000" w:rsidRPr="00000000" w14:paraId="00000013">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240" w:lineRule="auto"/>
        <w:ind w:left="720" w:hanging="360"/>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European Commission. E-waste management in Ghana: from grave to cradle. Published March 31, 2026. Accessed March 31, 2026. </w:t>
      </w:r>
      <w:hyperlink r:id="rId8">
        <w:r w:rsidDel="00000000" w:rsidR="00000000" w:rsidRPr="00000000">
          <w:rPr>
            <w:rFonts w:ascii="Avenir" w:cs="Avenir" w:eastAsia="Avenir" w:hAnsi="Avenir"/>
            <w:color w:val="1155cc"/>
            <w:sz w:val="15"/>
            <w:szCs w:val="15"/>
            <w:u w:val="single"/>
            <w:rtl w:val="0"/>
          </w:rPr>
          <w:t xml:space="preserve">https://international-partnerships.ec.europa.eu/policies/programming/projects/e-waste-management-ghana-grave-cradle_en</w:t>
        </w:r>
      </w:hyperlink>
      <w:r w:rsidDel="00000000" w:rsidR="00000000" w:rsidRPr="00000000">
        <w:rPr>
          <w:rFonts w:ascii="Avenir" w:cs="Avenir" w:eastAsia="Avenir" w:hAnsi="Avenir"/>
          <w:color w:val="3c3f42"/>
          <w:sz w:val="15"/>
          <w:szCs w:val="15"/>
          <w:rtl w:val="0"/>
        </w:rPr>
        <w:t xml:space="preserve"> </w:t>
      </w:r>
    </w:p>
    <w:p w:rsidR="00000000" w:rsidDel="00000000" w:rsidP="00000000" w:rsidRDefault="00000000" w:rsidRPr="00000000" w14:paraId="00000014">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240" w:lineRule="auto"/>
        <w:ind w:left="720" w:hanging="360"/>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Ellen MacArthur Foundation. Artificial Intelligence and the Circular Economy: AI as a Tool to Accelerate the Transition. Ellen MacArthur Foundation; 2019. Accessed March 19, 2026.</w:t>
      </w:r>
      <w:hyperlink r:id="rId9">
        <w:r w:rsidDel="00000000" w:rsidR="00000000" w:rsidRPr="00000000">
          <w:rPr>
            <w:rFonts w:ascii="Avenir" w:cs="Avenir" w:eastAsia="Avenir" w:hAnsi="Avenir"/>
            <w:color w:val="1155cc"/>
            <w:sz w:val="15"/>
            <w:szCs w:val="15"/>
            <w:u w:val="single"/>
            <w:rtl w:val="0"/>
          </w:rPr>
          <w:t xml:space="preserve">https://www.ellenmacarthurfoundation.org/artificial-intelligence-and-the-circular-economy</w:t>
        </w:r>
      </w:hyperlink>
      <w:r w:rsidDel="00000000" w:rsidR="00000000" w:rsidRPr="00000000">
        <w:rPr>
          <w:rtl w:val="0"/>
        </w:rPr>
      </w:r>
    </w:p>
    <w:p w:rsidR="00000000" w:rsidDel="00000000" w:rsidP="00000000" w:rsidRDefault="00000000" w:rsidRPr="00000000" w14:paraId="00000015">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240" w:lineRule="auto"/>
        <w:ind w:left="720" w:hanging="360"/>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European Parliament and Council of the European Union. Regulation (EU) 2024/1252 of the European Parliament and of the Council of 11 April 2024 establishing a framework for ensuring a secure and sustainable supply of critical raw materials and amending Regulations (EU) No 168/2013, (EU) 2018/858, (EU) 2018/1724 and (EU) 2019/1020. Official Journal of the European Union. Published May 3, 2024. Art 18(1)(c). Accessed April 1, 2026.</w:t>
      </w:r>
      <w:hyperlink r:id="rId10">
        <w:r w:rsidDel="00000000" w:rsidR="00000000" w:rsidRPr="00000000">
          <w:rPr>
            <w:rFonts w:ascii="Avenir" w:cs="Avenir" w:eastAsia="Avenir" w:hAnsi="Avenir"/>
            <w:color w:val="1155cc"/>
            <w:sz w:val="15"/>
            <w:szCs w:val="15"/>
            <w:u w:val="single"/>
            <w:rtl w:val="0"/>
          </w:rPr>
          <w:t xml:space="preserve">https://eur-lex.europa.eu/legal-content/EN/TXT/?uri=CELEX%3A32024R1252</w:t>
        </w:r>
      </w:hyperlink>
      <w:r w:rsidDel="00000000" w:rsidR="00000000" w:rsidRPr="00000000">
        <w:rPr>
          <w:rFonts w:ascii="Avenir" w:cs="Avenir" w:eastAsia="Avenir" w:hAnsi="Avenir"/>
          <w:color w:val="3c3f42"/>
          <w:sz w:val="15"/>
          <w:szCs w:val="15"/>
          <w:rtl w:val="0"/>
        </w:rPr>
        <w:t xml:space="preserve"> </w:t>
      </w:r>
    </w:p>
    <w:p w:rsidR="00000000" w:rsidDel="00000000" w:rsidP="00000000" w:rsidRDefault="00000000" w:rsidRPr="00000000" w14:paraId="00000016">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240" w:lineRule="auto"/>
        <w:ind w:left="720" w:hanging="360"/>
        <w:rPr>
          <w:rFonts w:ascii="Avenir" w:cs="Avenir" w:eastAsia="Avenir" w:hAnsi="Avenir"/>
          <w:color w:val="3c3f42"/>
          <w:sz w:val="15"/>
          <w:szCs w:val="15"/>
          <w:u w:val="none"/>
        </w:rPr>
      </w:pPr>
      <w:r w:rsidDel="00000000" w:rsidR="00000000" w:rsidRPr="00000000">
        <w:rPr>
          <w:rFonts w:ascii="Avenir" w:cs="Avenir" w:eastAsia="Avenir" w:hAnsi="Avenir"/>
          <w:color w:val="3c3f42"/>
          <w:sz w:val="15"/>
          <w:szCs w:val="15"/>
          <w:rtl w:val="0"/>
        </w:rPr>
        <w:t xml:space="preserve">Awere E, Obeng PA, Bonoli A. E-waste recycling and public exposure to organic compounds in developing countries: a review of recycling practices and toxicity levels in Ghana. Environ Technol Rev. 2020;9(1):1-19. doi:10.1080/21622515.2020.1714749 </w:t>
      </w:r>
    </w:p>
    <w:p w:rsidR="00000000" w:rsidDel="00000000" w:rsidP="00000000" w:rsidRDefault="00000000" w:rsidRPr="00000000" w14:paraId="00000017">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240" w:lineRule="auto"/>
        <w:ind w:left="720" w:hanging="360"/>
        <w:rPr>
          <w:rFonts w:ascii="Avenir" w:cs="Avenir" w:eastAsia="Avenir" w:hAnsi="Avenir"/>
          <w:color w:val="3c3f42"/>
          <w:sz w:val="15"/>
          <w:szCs w:val="15"/>
        </w:rPr>
      </w:pPr>
      <w:r w:rsidDel="00000000" w:rsidR="00000000" w:rsidRPr="00000000">
        <w:rPr>
          <w:rFonts w:ascii="Avenir" w:cs="Avenir" w:eastAsia="Avenir" w:hAnsi="Avenir"/>
          <w:color w:val="3c3f42"/>
          <w:sz w:val="15"/>
          <w:szCs w:val="15"/>
          <w:highlight w:val="white"/>
          <w:rtl w:val="0"/>
        </w:rPr>
        <w:t xml:space="preserve">Gauß R, Burkhardt C, Carencotte F, et</w:t>
      </w:r>
      <w:r w:rsidDel="00000000" w:rsidR="00000000" w:rsidRPr="00000000">
        <w:rPr>
          <w:rFonts w:ascii="Avenir" w:cs="Avenir" w:eastAsia="Avenir" w:hAnsi="Avenir"/>
          <w:color w:val="3c3f42"/>
          <w:sz w:val="15"/>
          <w:szCs w:val="15"/>
          <w:highlight w:val="white"/>
          <w:rtl w:val="0"/>
        </w:rPr>
        <w:t xml:space="preserve"> al. Rare Earth Magnets and Motors: A European Call for Action. Rare Earth Magnets and Motors Cluster of the European Raw Materials Allianc</w:t>
      </w:r>
      <w:r w:rsidDel="00000000" w:rsidR="00000000" w:rsidRPr="00000000">
        <w:rPr>
          <w:rFonts w:ascii="Avenir" w:cs="Avenir" w:eastAsia="Avenir" w:hAnsi="Avenir"/>
          <w:color w:val="3c3f42"/>
          <w:sz w:val="15"/>
          <w:szCs w:val="15"/>
          <w:highlight w:val="white"/>
          <w:rtl w:val="0"/>
        </w:rPr>
        <w:t xml:space="preserve">e; 2021.</w:t>
      </w:r>
      <w:r w:rsidDel="00000000" w:rsidR="00000000" w:rsidRPr="00000000">
        <w:rPr>
          <w:rFonts w:ascii="Avenir" w:cs="Avenir" w:eastAsia="Avenir" w:hAnsi="Avenir"/>
          <w:color w:val="3c3f42"/>
          <w:sz w:val="15"/>
          <w:szCs w:val="15"/>
          <w:rtl w:val="0"/>
        </w:rPr>
        <w:t xml:space="preserve">Accessed March 31, 2026.</w:t>
      </w:r>
      <w:hyperlink r:id="rId11">
        <w:r w:rsidDel="00000000" w:rsidR="00000000" w:rsidRPr="00000000">
          <w:rPr>
            <w:rFonts w:ascii="Avenir" w:cs="Avenir" w:eastAsia="Avenir" w:hAnsi="Avenir"/>
            <w:color w:val="3c3f42"/>
            <w:sz w:val="15"/>
            <w:szCs w:val="15"/>
            <w:rtl w:val="0"/>
          </w:rPr>
          <w:t xml:space="preserve"> </w:t>
        </w:r>
      </w:hyperlink>
      <w:hyperlink r:id="rId12">
        <w:r w:rsidDel="00000000" w:rsidR="00000000" w:rsidRPr="00000000">
          <w:rPr>
            <w:rFonts w:ascii="Avenir" w:cs="Avenir" w:eastAsia="Avenir" w:hAnsi="Avenir"/>
            <w:color w:val="1155cc"/>
            <w:sz w:val="15"/>
            <w:szCs w:val="15"/>
            <w:u w:val="single"/>
            <w:rtl w:val="0"/>
          </w:rPr>
          <w:t xml:space="preserve">https://www.eit.europa.eu/sites/default/files/2021_09-24_ree_cluster_report2.pdf</w:t>
        </w:r>
      </w:hyperlink>
      <w:r w:rsidDel="00000000" w:rsidR="00000000" w:rsidRPr="00000000">
        <w:rPr>
          <w:rtl w:val="0"/>
        </w:rPr>
      </w:r>
    </w:p>
    <w:p w:rsidR="00000000" w:rsidDel="00000000" w:rsidP="00000000" w:rsidRDefault="00000000" w:rsidRPr="00000000" w14:paraId="00000018">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240" w:lineRule="auto"/>
        <w:ind w:left="720" w:hanging="360"/>
        <w:rPr>
          <w:rFonts w:ascii="Avenir" w:cs="Avenir" w:eastAsia="Avenir" w:hAnsi="Avenir"/>
          <w:color w:val="3c3f42"/>
          <w:sz w:val="15"/>
          <w:szCs w:val="15"/>
          <w:u w:val="none"/>
        </w:rPr>
      </w:pPr>
      <w:r w:rsidDel="00000000" w:rsidR="00000000" w:rsidRPr="00000000">
        <w:rPr>
          <w:rFonts w:ascii="Avenir" w:cs="Avenir" w:eastAsia="Avenir" w:hAnsi="Avenir"/>
          <w:color w:val="3c3f42"/>
          <w:sz w:val="15"/>
          <w:szCs w:val="15"/>
          <w:rtl w:val="0"/>
        </w:rPr>
        <w:t xml:space="preserve">Gauß R, Burkhard</w:t>
      </w:r>
      <w:r w:rsidDel="00000000" w:rsidR="00000000" w:rsidRPr="00000000">
        <w:rPr>
          <w:rFonts w:ascii="Avenir" w:cs="Avenir" w:eastAsia="Avenir" w:hAnsi="Avenir"/>
          <w:color w:val="3c3f42"/>
          <w:sz w:val="15"/>
          <w:szCs w:val="15"/>
          <w:rtl w:val="0"/>
        </w:rPr>
        <w:t xml:space="preserve">t C, Carencotte F, et al. Rare earth magnets and motors: a European call for action. Rare Earth Magnets and Motors Cluster of the European Raw Materials Alliance; 2021. Accessed March 31, 2026.</w:t>
      </w:r>
      <w:hyperlink r:id="rId13">
        <w:r w:rsidDel="00000000" w:rsidR="00000000" w:rsidRPr="00000000">
          <w:rPr>
            <w:rFonts w:ascii="Avenir" w:cs="Avenir" w:eastAsia="Avenir" w:hAnsi="Avenir"/>
            <w:color w:val="3c3f42"/>
            <w:sz w:val="15"/>
            <w:szCs w:val="15"/>
            <w:rtl w:val="0"/>
          </w:rPr>
          <w:t xml:space="preserve"> </w:t>
        </w:r>
      </w:hyperlink>
      <w:hyperlink r:id="rId14">
        <w:r w:rsidDel="00000000" w:rsidR="00000000" w:rsidRPr="00000000">
          <w:rPr>
            <w:rFonts w:ascii="Avenir" w:cs="Avenir" w:eastAsia="Avenir" w:hAnsi="Avenir"/>
            <w:color w:val="1155cc"/>
            <w:sz w:val="15"/>
            <w:szCs w:val="15"/>
            <w:u w:val="single"/>
            <w:rtl w:val="0"/>
          </w:rPr>
          <w:t xml:space="preserve">https://www.eit.europa.eu/sites/default/files/2021_09-24_ree_cluster_report2.pdf</w:t>
        </w:r>
      </w:hyperlink>
      <w:r w:rsidDel="00000000" w:rsidR="00000000" w:rsidRPr="00000000">
        <w:rPr>
          <w:rtl w:val="0"/>
        </w:rPr>
      </w:r>
    </w:p>
    <w:p w:rsidR="00000000" w:rsidDel="00000000" w:rsidP="00000000" w:rsidRDefault="00000000" w:rsidRPr="00000000" w14:paraId="00000019">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240" w:before="0" w:beforeAutospacing="0" w:line="240" w:lineRule="auto"/>
        <w:ind w:left="720" w:hanging="360"/>
        <w:rPr>
          <w:rFonts w:ascii="Avenir" w:cs="Avenir" w:eastAsia="Avenir" w:hAnsi="Avenir"/>
          <w:color w:val="3c3f42"/>
          <w:sz w:val="15"/>
          <w:szCs w:val="15"/>
          <w:u w:val="none"/>
        </w:rPr>
      </w:pPr>
      <w:r w:rsidDel="00000000" w:rsidR="00000000" w:rsidRPr="00000000">
        <w:rPr>
          <w:rFonts w:ascii="Avenir" w:cs="Avenir" w:eastAsia="Avenir" w:hAnsi="Avenir"/>
          <w:color w:val="3c3f42"/>
          <w:sz w:val="15"/>
          <w:szCs w:val="15"/>
          <w:rtl w:val="0"/>
        </w:rPr>
        <w:t xml:space="preserve">Zhang Y, Wang Y, Liu Y, et al. The materials science behind sustainable metals and alloys. Chem Rev. 2022;122(1):123-145. doi:10.1021/acs.chemrev.2c00799</w:t>
      </w:r>
      <w:r w:rsidDel="00000000" w:rsidR="00000000" w:rsidRPr="00000000">
        <w:rPr>
          <w:rtl w:val="0"/>
        </w:rPr>
      </w:r>
    </w:p>
    <w:sectPr>
      <w:pgSz w:h="15840" w:w="12240" w:orient="portrait"/>
      <w:pgMar w:bottom="1440" w:top="1440" w:left="1440" w:right="1440" w:header="72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Dina Kurtali_" w:id="0" w:date="2026-03-31T14:58:34Z">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could be phrased better</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ni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yperlink" Target="https://www.eit.europa.eu/sites/default/files/2021_09-24_ree_cluster_report2.pdf" TargetMode="External"/><Relationship Id="rId10" Type="http://schemas.openxmlformats.org/officeDocument/2006/relationships/hyperlink" Target="https://eur-lex.europa.eu/legal-content/EN/TXT/?uri=CELEX%3A32024R1252" TargetMode="External"/><Relationship Id="rId13" Type="http://schemas.openxmlformats.org/officeDocument/2006/relationships/hyperlink" Target="https://www.eit.europa.eu/sites/default/files/2021_09-24_ree_cluster_report2.pdf" TargetMode="External"/><Relationship Id="rId12" Type="http://schemas.openxmlformats.org/officeDocument/2006/relationships/hyperlink" Target="https://www.eit.europa.eu/sites/default/files/2021_09-24_ree_cluster_report2.pdf" TargetMode="External"/><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yperlink" Target="https://www.ellenmacarthurfoundation.org/artificial-intelligence-and-the-circular-economy" TargetMode="External"/><Relationship Id="rId14" Type="http://schemas.openxmlformats.org/officeDocument/2006/relationships/hyperlink" Target="https://www.eit.europa.eu/sites/default/files/2021_09-24_ree_cluster_report2.pdf"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yperlink" Target="https://ec.europa.eu/eurostat/statistics-explained/index.php?title=International_trade_in_critical_raw_materials" TargetMode="External"/><Relationship Id="rId8" Type="http://schemas.openxmlformats.org/officeDocument/2006/relationships/hyperlink" Target="https://international-partnerships.ec.europa.eu/policies/programming/projects/e-waste-management-ghana-grave-cradle_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