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Orchestrating the Resource Loop</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color w:val="3c3f42"/>
          <w:sz w:val="18"/>
          <w:szCs w:val="18"/>
          <w:rtl w:val="0"/>
        </w:rPr>
        <w:t xml:space="preserve">Leveraging Digital Product Passports to Enable Closed-Loop Material Systems</w:t>
      </w:r>
      <w:r w:rsidDel="00000000" w:rsidR="00000000" w:rsidRPr="00000000">
        <w:rPr>
          <w:rtl w:val="0"/>
        </w:rPr>
      </w:r>
    </w:p>
    <w:p w:rsidR="00000000" w:rsidDel="00000000" w:rsidP="00000000" w:rsidRDefault="00000000" w:rsidRPr="00000000" w14:paraId="00000003">
      <w:pP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4">
      <w:pP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proliferation of AI-enabled industrial products is simultaneously intensifying demand for critical raw materials and creating conditions for more effective recovery within industrial systems. </w:t>
      </w:r>
      <w:r w:rsidDel="00000000" w:rsidR="00000000" w:rsidRPr="00000000">
        <w:rPr>
          <w:rFonts w:ascii="Avenir" w:cs="Avenir" w:eastAsia="Avenir" w:hAnsi="Avenir"/>
          <w:sz w:val="15"/>
          <w:szCs w:val="15"/>
          <w:rtl w:val="0"/>
        </w:rPr>
        <w:t xml:space="preserve"> Increasingly, AI-enabled products are growing more complex, more reliant on rare earth elements, and increasingly difficult to process at end-of-life, outpacing the capacity of existing recycling infrastructure to extract value economically [</w:t>
      </w:r>
      <w:r w:rsidDel="00000000" w:rsidR="00000000" w:rsidRPr="00000000">
        <w:rPr>
          <w:rFonts w:ascii="Avenir" w:cs="Avenir" w:eastAsia="Avenir" w:hAnsi="Avenir"/>
          <w:sz w:val="15"/>
          <w:szCs w:val="15"/>
          <w:rtl w:val="0"/>
        </w:rPr>
        <w:t xml:space="preserve">1,2</w:t>
      </w:r>
      <w:r w:rsidDel="00000000" w:rsidR="00000000" w:rsidRPr="00000000">
        <w:rPr>
          <w:rFonts w:ascii="Avenir" w:cs="Avenir" w:eastAsia="Avenir" w:hAnsi="Avenir"/>
          <w:sz w:val="15"/>
          <w:szCs w:val="15"/>
          <w:rtl w:val="0"/>
        </w:rPr>
        <w:t xml:space="preserve">]. Yet this is precisely where systemic action remains absent. Currently, materials that hold substantial strategic value are being lost at scale. Only if supply chains can be made traceable and recovery infrastructure intelligently orchestrated can value be retained. Three interconnected challenges define the gap between the materials industrial systems consume and those they recover. </w:t>
      </w:r>
    </w:p>
    <w:p w:rsidR="00000000" w:rsidDel="00000000" w:rsidP="00000000" w:rsidRDefault="00000000" w:rsidRPr="00000000" w14:paraId="00000005">
      <w:pP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6">
      <w:pP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first challenge </w:t>
      </w:r>
      <w:r w:rsidDel="00000000" w:rsidR="00000000" w:rsidRPr="00000000">
        <w:rPr>
          <w:rFonts w:ascii="Avenir" w:cs="Avenir" w:eastAsia="Avenir" w:hAnsi="Avenir"/>
          <w:sz w:val="15"/>
          <w:szCs w:val="15"/>
          <w:rtl w:val="0"/>
        </w:rPr>
        <w:t xml:space="preserve">is material recovery. Globally, only approximately 1% of rare earths are recovered from end-of-life products [</w:t>
      </w:r>
      <w:r w:rsidDel="00000000" w:rsidR="00000000" w:rsidRPr="00000000">
        <w:rPr>
          <w:rFonts w:ascii="Avenir" w:cs="Avenir" w:eastAsia="Avenir" w:hAnsi="Avenir"/>
          <w:sz w:val="15"/>
          <w:szCs w:val="15"/>
          <w:rtl w:val="0"/>
        </w:rPr>
        <w:t xml:space="preserve">4,5</w:t>
      </w:r>
      <w:r w:rsidDel="00000000" w:rsidR="00000000" w:rsidRPr="00000000">
        <w:rPr>
          <w:rFonts w:ascii="Avenir" w:cs="Avenir" w:eastAsia="Avenir" w:hAnsi="Avenir"/>
          <w:sz w:val="15"/>
          <w:szCs w:val="15"/>
          <w:rtl w:val="0"/>
        </w:rPr>
        <w:t xml:space="preserve">], while the </w:t>
      </w:r>
      <w:r w:rsidDel="00000000" w:rsidR="00000000" w:rsidRPr="00000000">
        <w:rPr>
          <w:rFonts w:ascii="Avenir" w:cs="Avenir" w:eastAsia="Avenir" w:hAnsi="Avenir"/>
          <w:sz w:val="15"/>
          <w:szCs w:val="15"/>
          <w:rtl w:val="0"/>
        </w:rPr>
        <w:t xml:space="preserve">EU</w:t>
      </w:r>
      <w:r w:rsidDel="00000000" w:rsidR="00000000" w:rsidRPr="00000000">
        <w:rPr>
          <w:rFonts w:ascii="Avenir" w:cs="Avenir" w:eastAsia="Avenir" w:hAnsi="Avenir"/>
          <w:sz w:val="15"/>
          <w:szCs w:val="15"/>
          <w:rtl w:val="0"/>
        </w:rPr>
        <w:t xml:space="preserve"> imports 95% of its rare earth supply and collects just 37.5% of its e-waste against a 65% target [</w:t>
      </w:r>
      <w:r w:rsidDel="00000000" w:rsidR="00000000" w:rsidRPr="00000000">
        <w:rPr>
          <w:rFonts w:ascii="Avenir" w:cs="Avenir" w:eastAsia="Avenir" w:hAnsi="Avenir"/>
          <w:sz w:val="15"/>
          <w:szCs w:val="15"/>
          <w:rtl w:val="0"/>
        </w:rPr>
        <w:t xml:space="preserve">3,6</w:t>
      </w:r>
      <w:r w:rsidDel="00000000" w:rsidR="00000000" w:rsidRPr="00000000">
        <w:rPr>
          <w:rFonts w:ascii="Avenir" w:cs="Avenir" w:eastAsia="Avenir" w:hAnsi="Avenir"/>
          <w:sz w:val="15"/>
          <w:szCs w:val="15"/>
          <w:rtl w:val="0"/>
        </w:rPr>
        <w:t xml:space="preserve">]. Existing operators only recover what is economically feasible, leaving the remainder lost or handled under uncontrolled conditions elsewhere [</w:t>
      </w:r>
      <w:r w:rsidDel="00000000" w:rsidR="00000000" w:rsidRPr="00000000">
        <w:rPr>
          <w:rFonts w:ascii="Avenir" w:cs="Avenir" w:eastAsia="Avenir" w:hAnsi="Avenir"/>
          <w:sz w:val="15"/>
          <w:szCs w:val="15"/>
          <w:rtl w:val="0"/>
        </w:rPr>
        <w:t xml:space="preserve">7,8</w:t>
      </w:r>
      <w:r w:rsidDel="00000000" w:rsidR="00000000" w:rsidRPr="00000000">
        <w:rPr>
          <w:rFonts w:ascii="Avenir" w:cs="Avenir" w:eastAsia="Avenir" w:hAnsi="Avenir"/>
          <w:sz w:val="15"/>
          <w:szCs w:val="15"/>
          <w:rtl w:val="0"/>
        </w:rPr>
        <w:t xml:space="preserve">]. AI as an orchestration layer routing end-of-life material streams based on real-time composition data has foundational demonstrations in adjacent circular economy applications [</w:t>
      </w:r>
      <w:r w:rsidDel="00000000" w:rsidR="00000000" w:rsidRPr="00000000">
        <w:rPr>
          <w:rFonts w:ascii="Avenir" w:cs="Avenir" w:eastAsia="Avenir" w:hAnsi="Avenir"/>
          <w:sz w:val="15"/>
          <w:szCs w:val="15"/>
          <w:rtl w:val="0"/>
        </w:rPr>
        <w:t xml:space="preserve">9</w:t>
      </w:r>
      <w:r w:rsidDel="00000000" w:rsidR="00000000" w:rsidRPr="00000000">
        <w:rPr>
          <w:rFonts w:ascii="Avenir" w:cs="Avenir" w:eastAsia="Avenir" w:hAnsi="Avenir"/>
          <w:sz w:val="15"/>
          <w:szCs w:val="15"/>
          <w:rtl w:val="0"/>
        </w:rPr>
        <w:t xml:space="preserve">]. Without building this recovery infrastructure, the EU Critical Raw Materials Act’s guideline of 25% domestic recycling of strategic materials by 2030 will remain structurally out of reach [</w:t>
      </w:r>
      <w:r w:rsidDel="00000000" w:rsidR="00000000" w:rsidRPr="00000000">
        <w:rPr>
          <w:rFonts w:ascii="Avenir" w:cs="Avenir" w:eastAsia="Avenir" w:hAnsi="Avenir"/>
          <w:sz w:val="15"/>
          <w:szCs w:val="15"/>
          <w:rtl w:val="0"/>
        </w:rPr>
        <w:t xml:space="preserve">10</w:t>
      </w:r>
      <w:r w:rsidDel="00000000" w:rsidR="00000000" w:rsidRPr="00000000">
        <w:rPr>
          <w:rFonts w:ascii="Avenir" w:cs="Avenir" w:eastAsia="Avenir" w:hAnsi="Avenir"/>
          <w:sz w:val="15"/>
          <w:szCs w:val="15"/>
          <w:rtl w:val="0"/>
        </w:rPr>
        <w:t xml:space="preserve">].</w:t>
      </w:r>
    </w:p>
    <w:p w:rsidR="00000000" w:rsidDel="00000000" w:rsidP="00000000" w:rsidRDefault="00000000" w:rsidRPr="00000000" w14:paraId="00000007">
      <w:pP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8">
      <w:pP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second challenge is product data infrastructure. Industrial supply chains generate information across fundamentally incompatible systems so that composition records, environmental footprints, and lifecycle handling requirements are rarely captured in consistent or interoperable formats [</w:t>
      </w:r>
      <w:r w:rsidDel="00000000" w:rsidR="00000000" w:rsidRPr="00000000">
        <w:rPr>
          <w:rFonts w:ascii="Avenir" w:cs="Avenir" w:eastAsia="Avenir" w:hAnsi="Avenir"/>
          <w:sz w:val="15"/>
          <w:szCs w:val="15"/>
          <w:rtl w:val="0"/>
        </w:rPr>
        <w:t xml:space="preserve">14,15</w:t>
      </w:r>
      <w:r w:rsidDel="00000000" w:rsidR="00000000" w:rsidRPr="00000000">
        <w:rPr>
          <w:rFonts w:ascii="Avenir" w:cs="Avenir" w:eastAsia="Avenir" w:hAnsi="Avenir"/>
          <w:sz w:val="15"/>
          <w:szCs w:val="15"/>
          <w:rtl w:val="0"/>
        </w:rPr>
        <w:t xml:space="preserve">]. The EU Ecodesign for Sustainable Products Regulation mandates DPPs as a direct response, requiring structured digital records of a product's composition, environmental impact, and lifecycle </w:t>
      </w:r>
      <w:r w:rsidDel="00000000" w:rsidR="00000000" w:rsidRPr="00000000">
        <w:rPr>
          <w:rFonts w:ascii="Avenir" w:cs="Avenir" w:eastAsia="Avenir" w:hAnsi="Avenir"/>
          <w:sz w:val="15"/>
          <w:szCs w:val="15"/>
          <w:rtl w:val="0"/>
        </w:rPr>
        <w:t xml:space="preserve">management, with non-compliance resulting in</w:t>
      </w:r>
      <w:r w:rsidDel="00000000" w:rsidR="00000000" w:rsidRPr="00000000">
        <w:rPr>
          <w:rFonts w:ascii="Avenir" w:cs="Avenir" w:eastAsia="Avenir" w:hAnsi="Avenir"/>
          <w:sz w:val="15"/>
          <w:szCs w:val="15"/>
          <w:rtl w:val="0"/>
        </w:rPr>
        <w:t xml:space="preserve"> exclusion from the EU market [</w:t>
      </w:r>
      <w:r w:rsidDel="00000000" w:rsidR="00000000" w:rsidRPr="00000000">
        <w:rPr>
          <w:rFonts w:ascii="Avenir" w:cs="Avenir" w:eastAsia="Avenir" w:hAnsi="Avenir"/>
          <w:sz w:val="15"/>
          <w:szCs w:val="15"/>
          <w:rtl w:val="0"/>
        </w:rPr>
        <w:t xml:space="preserve">11</w:t>
      </w:r>
      <w:r w:rsidDel="00000000" w:rsidR="00000000" w:rsidRPr="00000000">
        <w:rPr>
          <w:rFonts w:ascii="Avenir" w:cs="Avenir" w:eastAsia="Avenir" w:hAnsi="Avenir"/>
          <w:sz w:val="15"/>
          <w:szCs w:val="15"/>
          <w:rtl w:val="0"/>
        </w:rPr>
        <w:t xml:space="preserve">]. </w:t>
      </w:r>
      <w:r w:rsidDel="00000000" w:rsidR="00000000" w:rsidRPr="00000000">
        <w:rPr>
          <w:rFonts w:ascii="Avenir" w:cs="Avenir" w:eastAsia="Avenir" w:hAnsi="Avenir"/>
          <w:sz w:val="15"/>
          <w:szCs w:val="15"/>
          <w:rtl w:val="0"/>
        </w:rPr>
        <w:t xml:space="preserve">Batteries face this requirement from 2027, with e.g., textiles or electronics following through 2030 [</w:t>
      </w:r>
      <w:r w:rsidDel="00000000" w:rsidR="00000000" w:rsidRPr="00000000">
        <w:rPr>
          <w:rFonts w:ascii="Avenir" w:cs="Avenir" w:eastAsia="Avenir" w:hAnsi="Avenir"/>
          <w:sz w:val="15"/>
          <w:szCs w:val="15"/>
          <w:rtl w:val="0"/>
        </w:rPr>
        <w:t xml:space="preserve">12,13</w:t>
      </w:r>
      <w:r w:rsidDel="00000000" w:rsidR="00000000" w:rsidRPr="00000000">
        <w:rPr>
          <w:rFonts w:ascii="Avenir" w:cs="Avenir" w:eastAsia="Avenir" w:hAnsi="Avenir"/>
          <w:sz w:val="15"/>
          <w:szCs w:val="15"/>
          <w:rtl w:val="0"/>
        </w:rPr>
        <w:t xml:space="preserve">].</w:t>
      </w:r>
      <w:r w:rsidDel="00000000" w:rsidR="00000000" w:rsidRPr="00000000">
        <w:rPr>
          <w:rFonts w:ascii="Avenir" w:cs="Avenir" w:eastAsia="Avenir" w:hAnsi="Avenir"/>
          <w:sz w:val="15"/>
          <w:szCs w:val="15"/>
          <w:rtl w:val="0"/>
        </w:rPr>
        <w:t xml:space="preserve"> </w:t>
      </w:r>
      <w:r w:rsidDel="00000000" w:rsidR="00000000" w:rsidRPr="00000000">
        <w:rPr>
          <w:rFonts w:ascii="Avenir" w:cs="Avenir" w:eastAsia="Avenir" w:hAnsi="Avenir"/>
          <w:sz w:val="15"/>
          <w:szCs w:val="15"/>
          <w:rtl w:val="0"/>
        </w:rPr>
        <w:t xml:space="preserve">Firms implementing DPPs solely for compliance are missing the circular business models the underlying data infrastructure makes possible [</w:t>
      </w:r>
      <w:r w:rsidDel="00000000" w:rsidR="00000000" w:rsidRPr="00000000">
        <w:rPr>
          <w:rFonts w:ascii="Avenir" w:cs="Avenir" w:eastAsia="Avenir" w:hAnsi="Avenir"/>
          <w:sz w:val="15"/>
          <w:szCs w:val="15"/>
          <w:rtl w:val="0"/>
        </w:rPr>
        <w:t xml:space="preserve">16</w:t>
      </w:r>
      <w:r w:rsidDel="00000000" w:rsidR="00000000" w:rsidRPr="00000000">
        <w:rPr>
          <w:rFonts w:ascii="Avenir" w:cs="Avenir" w:eastAsia="Avenir" w:hAnsi="Avenir"/>
          <w:sz w:val="15"/>
          <w:szCs w:val="15"/>
          <w:rtl w:val="0"/>
        </w:rPr>
        <w:t xml:space="preserve">]</w:t>
      </w:r>
      <w:r w:rsidDel="00000000" w:rsidR="00000000" w:rsidRPr="00000000">
        <w:rPr>
          <w:rFonts w:ascii="Avenir" w:cs="Avenir" w:eastAsia="Avenir" w:hAnsi="Avenir"/>
          <w:sz w:val="15"/>
          <w:szCs w:val="15"/>
          <w:rtl w:val="0"/>
        </w:rPr>
        <w:t xml:space="preserve">.</w:t>
      </w:r>
    </w:p>
    <w:p w:rsidR="00000000" w:rsidDel="00000000" w:rsidP="00000000" w:rsidRDefault="00000000" w:rsidRPr="00000000" w14:paraId="00000009">
      <w:pP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A">
      <w:pP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third challenge is </w:t>
      </w:r>
      <w:r w:rsidDel="00000000" w:rsidR="00000000" w:rsidRPr="00000000">
        <w:rPr>
          <w:rFonts w:ascii="Avenir" w:cs="Avenir" w:eastAsia="Avenir" w:hAnsi="Avenir"/>
          <w:sz w:val="15"/>
          <w:szCs w:val="15"/>
          <w:rtl w:val="0"/>
        </w:rPr>
        <w:t xml:space="preserve">designing</w:t>
      </w:r>
      <w:r w:rsidDel="00000000" w:rsidR="00000000" w:rsidRPr="00000000">
        <w:rPr>
          <w:rFonts w:ascii="Avenir" w:cs="Avenir" w:eastAsia="Avenir" w:hAnsi="Avenir"/>
          <w:sz w:val="15"/>
          <w:szCs w:val="15"/>
          <w:rtl w:val="0"/>
        </w:rPr>
        <w:t xml:space="preserve"> for longer</w:t>
      </w:r>
      <w:r w:rsidDel="00000000" w:rsidR="00000000" w:rsidRPr="00000000">
        <w:rPr>
          <w:rFonts w:ascii="Avenir" w:cs="Avenir" w:eastAsia="Avenir" w:hAnsi="Avenir"/>
          <w:sz w:val="15"/>
          <w:szCs w:val="15"/>
          <w:rtl w:val="0"/>
        </w:rPr>
        <w:t xml:space="preserve">, more sustainable</w:t>
      </w:r>
      <w:r w:rsidDel="00000000" w:rsidR="00000000" w:rsidRPr="00000000">
        <w:rPr>
          <w:rFonts w:ascii="Avenir" w:cs="Avenir" w:eastAsia="Avenir" w:hAnsi="Avenir"/>
          <w:sz w:val="15"/>
          <w:szCs w:val="15"/>
          <w:rtl w:val="0"/>
        </w:rPr>
        <w:t xml:space="preserve"> lifecycles. Even where manufacturers hold detailed knowledge of their products’ composition and performance characteristics, they historically lose control over assets after the point of sale, weakening incentives for lifecycle optimization [</w:t>
      </w:r>
      <w:r w:rsidDel="00000000" w:rsidR="00000000" w:rsidRPr="00000000">
        <w:rPr>
          <w:rFonts w:ascii="Avenir" w:cs="Avenir" w:eastAsia="Avenir" w:hAnsi="Avenir"/>
          <w:sz w:val="15"/>
          <w:szCs w:val="15"/>
          <w:rtl w:val="0"/>
        </w:rPr>
        <w:t xml:space="preserve">17,18</w:t>
      </w:r>
      <w:r w:rsidDel="00000000" w:rsidR="00000000" w:rsidRPr="00000000">
        <w:rPr>
          <w:rFonts w:ascii="Avenir" w:cs="Avenir" w:eastAsia="Avenir" w:hAnsi="Avenir"/>
          <w:sz w:val="15"/>
          <w:szCs w:val="15"/>
          <w:rtl w:val="0"/>
        </w:rPr>
        <w:t xml:space="preserve">]. AI-powered predictive and prescriptive maintenance, outcome-based models such as </w:t>
      </w:r>
      <w:r w:rsidDel="00000000" w:rsidR="00000000" w:rsidRPr="00000000">
        <w:rPr>
          <w:rFonts w:ascii="Avenir" w:cs="Avenir" w:eastAsia="Avenir" w:hAnsi="Avenir"/>
          <w:sz w:val="15"/>
          <w:szCs w:val="15"/>
          <w:rtl w:val="0"/>
        </w:rPr>
        <w:t xml:space="preserve">EaaS</w:t>
      </w:r>
      <w:r w:rsidDel="00000000" w:rsidR="00000000" w:rsidRPr="00000000">
        <w:rPr>
          <w:rFonts w:ascii="Avenir" w:cs="Avenir" w:eastAsia="Avenir" w:hAnsi="Avenir"/>
          <w:sz w:val="15"/>
          <w:szCs w:val="15"/>
          <w:rtl w:val="0"/>
        </w:rPr>
        <w:t xml:space="preserve">, or AI-driven design for circularity embedded in </w:t>
      </w:r>
      <w:r w:rsidDel="00000000" w:rsidR="00000000" w:rsidRPr="00000000">
        <w:rPr>
          <w:rFonts w:ascii="Avenir" w:cs="Avenir" w:eastAsia="Avenir" w:hAnsi="Avenir"/>
          <w:sz w:val="15"/>
          <w:szCs w:val="15"/>
          <w:rtl w:val="0"/>
        </w:rPr>
        <w:t xml:space="preserve">CAD</w:t>
      </w:r>
      <w:r w:rsidDel="00000000" w:rsidR="00000000" w:rsidRPr="00000000">
        <w:rPr>
          <w:rFonts w:ascii="Avenir" w:cs="Avenir" w:eastAsia="Avenir" w:hAnsi="Avenir"/>
          <w:sz w:val="15"/>
          <w:szCs w:val="15"/>
          <w:rtl w:val="0"/>
        </w:rPr>
        <w:t xml:space="preserve"> workflows offer a path to realigning those incentives [</w:t>
      </w:r>
      <w:r w:rsidDel="00000000" w:rsidR="00000000" w:rsidRPr="00000000">
        <w:rPr>
          <w:rFonts w:ascii="Avenir" w:cs="Avenir" w:eastAsia="Avenir" w:hAnsi="Avenir"/>
          <w:sz w:val="15"/>
          <w:szCs w:val="15"/>
          <w:rtl w:val="0"/>
        </w:rPr>
        <w:t xml:space="preserve">19,20,21,22,23</w:t>
      </w:r>
      <w:r w:rsidDel="00000000" w:rsidR="00000000" w:rsidRPr="00000000">
        <w:rPr>
          <w:rFonts w:ascii="Avenir" w:cs="Avenir" w:eastAsia="Avenir" w:hAnsi="Avenir"/>
          <w:sz w:val="15"/>
          <w:szCs w:val="15"/>
          <w:rtl w:val="0"/>
        </w:rPr>
        <w:t xml:space="preserve">]. Modular design strategies could allow OEMs to capture aftermarket revenue at approximately twice the margin of equipment sales [</w:t>
      </w:r>
      <w:r w:rsidDel="00000000" w:rsidR="00000000" w:rsidRPr="00000000">
        <w:rPr>
          <w:rFonts w:ascii="Avenir" w:cs="Avenir" w:eastAsia="Avenir" w:hAnsi="Avenir"/>
          <w:sz w:val="15"/>
          <w:szCs w:val="15"/>
          <w:rtl w:val="0"/>
        </w:rPr>
        <w:t xml:space="preserve">24</w:t>
      </w:r>
      <w:r w:rsidDel="00000000" w:rsidR="00000000" w:rsidRPr="00000000">
        <w:rPr>
          <w:rFonts w:ascii="Avenir" w:cs="Avenir" w:eastAsia="Avenir" w:hAnsi="Avenir"/>
          <w:sz w:val="15"/>
          <w:szCs w:val="15"/>
          <w:rtl w:val="0"/>
        </w:rPr>
        <w:t xml:space="preserve">]. </w:t>
      </w:r>
    </w:p>
    <w:p w:rsidR="00000000" w:rsidDel="00000000" w:rsidP="00000000" w:rsidRDefault="00000000" w:rsidRPr="00000000" w14:paraId="0000000B">
      <w:pP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C">
      <w:pPr>
        <w:spacing w:after="0" w:before="0" w:line="240" w:lineRule="auto"/>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D">
      <w:pPr>
        <w:spacing w:after="0" w:before="0" w:line="240" w:lineRule="auto"/>
        <w:rPr>
          <w:rFonts w:ascii="Avenir" w:cs="Avenir" w:eastAsia="Avenir" w:hAnsi="Avenir"/>
          <w:sz w:val="15"/>
          <w:szCs w:val="15"/>
        </w:rPr>
      </w:pPr>
      <w:r w:rsidDel="00000000" w:rsidR="00000000" w:rsidRPr="00000000">
        <w:rPr>
          <w:rFonts w:ascii="Avenir" w:cs="Avenir" w:eastAsia="Avenir" w:hAnsi="Avenir"/>
          <w:sz w:val="15"/>
          <w:szCs w:val="15"/>
          <w:rtl w:val="0"/>
        </w:rPr>
        <w:t xml:space="preserve">References:</w:t>
      </w:r>
    </w:p>
    <w:p w:rsidR="00000000" w:rsidDel="00000000" w:rsidP="00000000" w:rsidRDefault="00000000" w:rsidRPr="00000000" w14:paraId="0000000E">
      <w:pPr>
        <w:numPr>
          <w:ilvl w:val="0"/>
          <w:numId w:val="1"/>
        </w:numPr>
        <w:spacing w:after="0" w:afterAutospacing="0" w:before="12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Leal Filho W, Kotter R, Özuyar PG, Abubakar IR, Eustachio JHPP, Matandirotya NR. Understanding rare earth elements as critical raw materials. Sustainability. 2023;15(3):1919. doi:10.3390/su15031919</w:t>
      </w:r>
    </w:p>
    <w:p w:rsidR="00000000" w:rsidDel="00000000" w:rsidP="00000000" w:rsidRDefault="00000000" w:rsidRPr="00000000" w14:paraId="0000000F">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Fujita Y, McCall SK, Ginosar D. Recycling rare earths: perspectives and recent advances. MRS Bull. 2022;47(3):283-288. doi:10.1557/s43577-022-00301-w</w:t>
      </w:r>
    </w:p>
    <w:p w:rsidR="00000000" w:rsidDel="00000000" w:rsidP="00000000" w:rsidRDefault="00000000" w:rsidRPr="00000000" w14:paraId="00000010">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Eurostat. International trade in critical raw materials. Eurostat Statistics Explained. Published June 2025. Accessed March 17, 2026. </w:t>
      </w:r>
      <w:hyperlink r:id="rId6">
        <w:r w:rsidDel="00000000" w:rsidR="00000000" w:rsidRPr="00000000">
          <w:rPr>
            <w:rFonts w:ascii="Avenir" w:cs="Avenir" w:eastAsia="Avenir" w:hAnsi="Avenir"/>
            <w:sz w:val="15"/>
            <w:szCs w:val="15"/>
            <w:rtl w:val="0"/>
          </w:rPr>
          <w:t xml:space="preserve">https://ec.europa.eu/eurostat/statistics-explained/index.php?title=International_trade_in_critical_raw_materials</w:t>
        </w:r>
      </w:hyperlink>
      <w:r w:rsidDel="00000000" w:rsidR="00000000" w:rsidRPr="00000000">
        <w:rPr>
          <w:rtl w:val="0"/>
        </w:rPr>
      </w:r>
    </w:p>
    <w:p w:rsidR="00000000" w:rsidDel="00000000" w:rsidP="00000000" w:rsidRDefault="00000000" w:rsidRPr="00000000" w14:paraId="00000011">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Danouche M, Bounaga A, Oulkhir A, Boulif R, Zeroual Y, Benhida R, Lyamlouli K. Advances in bio/chemical approaches for sustainable recycling and recovery of rare earth elements from secondary resources. Sci Total Environ. 2023;168811. doi:10.1016/j.scitotenv.2023.168811</w:t>
      </w:r>
    </w:p>
    <w:p w:rsidR="00000000" w:rsidDel="00000000" w:rsidP="00000000" w:rsidRDefault="00000000" w:rsidRPr="00000000" w14:paraId="00000012">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Perrin MA, Dutheil P, Wörle M, Mougel V. Recovery of europium from E-waste using redox active tetrathiotungstate ligands. Nat Commun. 2024;15:4577. doi:10.1038/s41467-024-48923-3</w:t>
      </w:r>
    </w:p>
    <w:p w:rsidR="00000000" w:rsidDel="00000000" w:rsidP="00000000" w:rsidRDefault="00000000" w:rsidRPr="00000000" w14:paraId="00000013">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Eurostat. Waste statistics - electrical and electronic equipment. Eurostat Statistics Explained. Published October 2025. Accessed March 19, 2026. </w:t>
      </w:r>
      <w:hyperlink r:id="rId7">
        <w:r w:rsidDel="00000000" w:rsidR="00000000" w:rsidRPr="00000000">
          <w:rPr>
            <w:rFonts w:ascii="Avenir" w:cs="Avenir" w:eastAsia="Avenir" w:hAnsi="Avenir"/>
            <w:sz w:val="15"/>
            <w:szCs w:val="15"/>
            <w:rtl w:val="0"/>
          </w:rPr>
          <w:t xml:space="preserve">https://ec.europa.eu/eurostat/statistics-explained/index.php?title=Waste_statistics_-_electrical_and_electronic_equipmen</w:t>
        </w:r>
      </w:hyperlink>
      <w:r w:rsidDel="00000000" w:rsidR="00000000" w:rsidRPr="00000000">
        <w:rPr>
          <w:rFonts w:ascii="Avenir" w:cs="Avenir" w:eastAsia="Avenir" w:hAnsi="Avenir"/>
          <w:sz w:val="15"/>
          <w:szCs w:val="15"/>
          <w:rtl w:val="0"/>
        </w:rPr>
        <w:t xml:space="preserve">t</w:t>
      </w:r>
    </w:p>
    <w:p w:rsidR="00000000" w:rsidDel="00000000" w:rsidP="00000000" w:rsidRDefault="00000000" w:rsidRPr="00000000" w14:paraId="00000014">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Bielowicz B. Waste as a source of critical raw materials: a new approach in the context of energy transition. Energies. 2025;18(8):2101. doi:10.3390/en18082101</w:t>
      </w:r>
    </w:p>
    <w:p w:rsidR="00000000" w:rsidDel="00000000" w:rsidP="00000000" w:rsidRDefault="00000000" w:rsidRPr="00000000" w14:paraId="00000015">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European Commission, Directorate-General for International Partnerships. E-waste management in Ghana: from grave to cradle. European Commission International Partnerships. Published 2018. Accessed March 17, 2026. </w:t>
      </w:r>
      <w:hyperlink r:id="rId8">
        <w:r w:rsidDel="00000000" w:rsidR="00000000" w:rsidRPr="00000000">
          <w:rPr>
            <w:rFonts w:ascii="Avenir" w:cs="Avenir" w:eastAsia="Avenir" w:hAnsi="Avenir"/>
            <w:sz w:val="15"/>
            <w:szCs w:val="15"/>
            <w:rtl w:val="0"/>
          </w:rPr>
          <w:t xml:space="preserve">https://www.international-partnerships.ec.europa.eu/policies/programming/projects/e-waste-management-ghana-grave-cradle_en</w:t>
        </w:r>
      </w:hyperlink>
      <w:r w:rsidDel="00000000" w:rsidR="00000000" w:rsidRPr="00000000">
        <w:rPr>
          <w:rtl w:val="0"/>
        </w:rPr>
      </w:r>
    </w:p>
    <w:p w:rsidR="00000000" w:rsidDel="00000000" w:rsidP="00000000" w:rsidRDefault="00000000" w:rsidRPr="00000000" w14:paraId="00000016">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Ellen MacArthur Foundation. Artificial Intelligence and the Circular Economy: AI as a Tool to Accelerate the Transition. Ellen MacArthur Foundation; 2019. Accessed March 19, 2026. </w:t>
      </w:r>
      <w:hyperlink r:id="rId9">
        <w:r w:rsidDel="00000000" w:rsidR="00000000" w:rsidRPr="00000000">
          <w:rPr>
            <w:rFonts w:ascii="Avenir" w:cs="Avenir" w:eastAsia="Avenir" w:hAnsi="Avenir"/>
            <w:sz w:val="15"/>
            <w:szCs w:val="15"/>
            <w:rtl w:val="0"/>
          </w:rPr>
          <w:t xml:space="preserve">https://www.ellenmacarthurfoundation.org/artificial-intelligence-and-the-circular-economy</w:t>
        </w:r>
      </w:hyperlink>
      <w:r w:rsidDel="00000000" w:rsidR="00000000" w:rsidRPr="00000000">
        <w:rPr>
          <w:rtl w:val="0"/>
        </w:rPr>
      </w:r>
    </w:p>
    <w:p w:rsidR="00000000" w:rsidDel="00000000" w:rsidP="00000000" w:rsidRDefault="00000000" w:rsidRPr="00000000" w14:paraId="00000017">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European Parliament and Council of the European Union. Regulation (EU) 2024/1252 of the European Parliament and of the Council of 11 April 2024 establishing a framework for ensuring a secure and sustainable supply of critical raw materials. Official Journal of the European Union. Published May 3, 2024. </w:t>
      </w:r>
      <w:r w:rsidDel="00000000" w:rsidR="00000000" w:rsidRPr="00000000">
        <w:rPr>
          <w:rFonts w:ascii="Avenir" w:cs="Avenir" w:eastAsia="Avenir" w:hAnsi="Avenir"/>
          <w:color w:val="3c3f42"/>
          <w:sz w:val="15"/>
          <w:szCs w:val="15"/>
          <w:rtl w:val="0"/>
        </w:rPr>
        <w:t xml:space="preserve"> Accessed April 1. 2026.</w:t>
      </w:r>
      <w:hyperlink r:id="rId10">
        <w:r w:rsidDel="00000000" w:rsidR="00000000" w:rsidRPr="00000000">
          <w:rPr>
            <w:rFonts w:ascii="Avenir" w:cs="Avenir" w:eastAsia="Avenir" w:hAnsi="Avenir"/>
            <w:sz w:val="15"/>
            <w:szCs w:val="15"/>
            <w:rtl w:val="0"/>
          </w:rPr>
          <w:t xml:space="preserve">https://eur-lex.europa.eu/legal-content/EN/TXT/?uri=CELEX%3A32024R1252</w:t>
        </w:r>
      </w:hyperlink>
      <w:r w:rsidDel="00000000" w:rsidR="00000000" w:rsidRPr="00000000">
        <w:rPr>
          <w:rtl w:val="0"/>
        </w:rPr>
      </w:r>
    </w:p>
    <w:p w:rsidR="00000000" w:rsidDel="00000000" w:rsidP="00000000" w:rsidRDefault="00000000" w:rsidRPr="00000000" w14:paraId="00000018">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Regulation (EU) 2024/1781 of the European Parliament and of the Council of 13 June 2024 Establishing a Framework for the Setting of Ecodesign Requirements for Sustainable Products. 2024. Accessed March 3, 2026. </w:t>
      </w:r>
      <w:hyperlink r:id="rId11">
        <w:r w:rsidDel="00000000" w:rsidR="00000000" w:rsidRPr="00000000">
          <w:rPr>
            <w:rFonts w:ascii="Avenir" w:cs="Avenir" w:eastAsia="Avenir" w:hAnsi="Avenir"/>
            <w:sz w:val="15"/>
            <w:szCs w:val="15"/>
            <w:rtl w:val="0"/>
          </w:rPr>
          <w:t xml:space="preserve">https://eur-lex.europa.eu/legal-content/EN/TXT/?uri=CELEX%3A32024R1781&amp;qid=1719580391746</w:t>
        </w:r>
      </w:hyperlink>
      <w:r w:rsidDel="00000000" w:rsidR="00000000" w:rsidRPr="00000000">
        <w:rPr>
          <w:rtl w:val="0"/>
        </w:rPr>
      </w:r>
    </w:p>
    <w:p w:rsidR="00000000" w:rsidDel="00000000" w:rsidP="00000000" w:rsidRDefault="00000000" w:rsidRPr="00000000" w14:paraId="00000019">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Regulation (EU) 2023/1542 of the European Parliament and of the Council of 12 July 2023 Concerning Batteries and Waste Batteries. Vol 191. 2023. Accessed March 18, 2026. </w:t>
      </w:r>
      <w:hyperlink r:id="rId12">
        <w:r w:rsidDel="00000000" w:rsidR="00000000" w:rsidRPr="00000000">
          <w:rPr>
            <w:rFonts w:ascii="Avenir" w:cs="Avenir" w:eastAsia="Avenir" w:hAnsi="Avenir"/>
            <w:sz w:val="15"/>
            <w:szCs w:val="15"/>
            <w:rtl w:val="0"/>
          </w:rPr>
          <w:t xml:space="preserve">http://data.europa.eu/eli/reg/2023/1542/oj</w:t>
        </w:r>
      </w:hyperlink>
      <w:r w:rsidDel="00000000" w:rsidR="00000000" w:rsidRPr="00000000">
        <w:rPr>
          <w:rtl w:val="0"/>
        </w:rPr>
      </w:r>
    </w:p>
    <w:p w:rsidR="00000000" w:rsidDel="00000000" w:rsidP="00000000" w:rsidRDefault="00000000" w:rsidRPr="00000000" w14:paraId="0000001A">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Communication from the Commission: Ecodesign for Sustainable Products and Energy Labelling Working Plan 2025-2030. 2025. Accessed March 18, 2026. </w:t>
      </w:r>
      <w:hyperlink r:id="rId13">
        <w:r w:rsidDel="00000000" w:rsidR="00000000" w:rsidRPr="00000000">
          <w:rPr>
            <w:rFonts w:ascii="Avenir" w:cs="Avenir" w:eastAsia="Avenir" w:hAnsi="Avenir"/>
            <w:sz w:val="15"/>
            <w:szCs w:val="15"/>
            <w:rtl w:val="0"/>
          </w:rPr>
          <w:t xml:space="preserve">https://eur-lex.europa.eu/legal-content/EN/TXT/?uri=CELEX:52025DC0187</w:t>
        </w:r>
      </w:hyperlink>
      <w:r w:rsidDel="00000000" w:rsidR="00000000" w:rsidRPr="00000000">
        <w:rPr>
          <w:rtl w:val="0"/>
        </w:rPr>
      </w:r>
    </w:p>
    <w:p w:rsidR="00000000" w:rsidDel="00000000" w:rsidP="00000000" w:rsidRDefault="00000000" w:rsidRPr="00000000" w14:paraId="0000001B">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Büchel J, Neligan A. Digital Product Passport: Finding the Right Balance Between Transparency for Circularity and Added Red Tape. Intereconomics. 2025;60(3):160-164. doi:10.2478/ie-2025-0031</w:t>
      </w:r>
    </w:p>
    <w:p w:rsidR="00000000" w:rsidDel="00000000" w:rsidP="00000000" w:rsidRDefault="00000000" w:rsidRPr="00000000" w14:paraId="0000001C">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Zhang Z, Gu J, Li R, Lian W, Ma C, Tian J. Bridging digital and green transitions: A literature review of digital product passport systems. Renew Sustain Energy Rev. 2026;228:116600. doi:10.1016/j.rser.2025.116600</w:t>
      </w:r>
    </w:p>
    <w:p w:rsidR="00000000" w:rsidDel="00000000" w:rsidP="00000000" w:rsidRDefault="00000000" w:rsidRPr="00000000" w14:paraId="0000001D">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Zhang A, Seuring S. Digital product passport for sustainable and circular supply chain management: a structured review of use cases. Int J Logist Res Appl. 2024;27(12):2513-2540. doi:10.1080/13675567.2024.2374256</w:t>
      </w:r>
    </w:p>
    <w:p w:rsidR="00000000" w:rsidDel="00000000" w:rsidP="00000000" w:rsidRDefault="00000000" w:rsidRPr="00000000" w14:paraId="0000001E">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Hannover Messe. Enabling the EaaS Model: Insurance and Financing Strategies. Hannover Messe. 2021. Accessed March 18, 2026. </w:t>
      </w:r>
      <w:hyperlink r:id="rId14">
        <w:r w:rsidDel="00000000" w:rsidR="00000000" w:rsidRPr="00000000">
          <w:rPr>
            <w:rFonts w:ascii="Avenir" w:cs="Avenir" w:eastAsia="Avenir" w:hAnsi="Avenir"/>
            <w:sz w:val="15"/>
            <w:szCs w:val="15"/>
            <w:rtl w:val="0"/>
          </w:rPr>
          <w:t xml:space="preserve">https://www.hannovermesse.de/apollo/hannover_messe_2021/obs/Binary/A1086204/EN%20-%20Enabling%20the%20EaaS%20Model-Insurance%20and%20Financing%20Strategies%20LR.pdf</w:t>
        </w:r>
      </w:hyperlink>
      <w:r w:rsidDel="00000000" w:rsidR="00000000" w:rsidRPr="00000000">
        <w:rPr>
          <w:rtl w:val="0"/>
        </w:rPr>
      </w:r>
    </w:p>
    <w:p w:rsidR="00000000" w:rsidDel="00000000" w:rsidP="00000000" w:rsidRDefault="00000000" w:rsidRPr="00000000" w14:paraId="0000001F">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Vogt Duberg J, Sakao T. How can manufacturers identify the conditions for financially viable product-as-a-service? Front Manuf Technol. 2024;4:1498189. doi:10.3389/fmtec.2024.1498189</w:t>
      </w:r>
    </w:p>
    <w:p w:rsidR="00000000" w:rsidDel="00000000" w:rsidP="00000000" w:rsidRDefault="00000000" w:rsidRPr="00000000" w14:paraId="00000020">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McKinsey and Company. Manufacturing analytics unleashes productivity and profitability. McKinsey and Company. 2017. Accessed March 1, 2026. </w:t>
      </w:r>
      <w:hyperlink r:id="rId15">
        <w:r w:rsidDel="00000000" w:rsidR="00000000" w:rsidRPr="00000000">
          <w:rPr>
            <w:rFonts w:ascii="Avenir" w:cs="Avenir" w:eastAsia="Avenir" w:hAnsi="Avenir"/>
            <w:sz w:val="15"/>
            <w:szCs w:val="15"/>
            <w:rtl w:val="0"/>
          </w:rPr>
          <w:t xml:space="preserve">https://www.mckinsey.com/capabilities/operations/our-insights/manufacturing-analytics-unleashes-productivity-and-profitability</w:t>
        </w:r>
      </w:hyperlink>
      <w:r w:rsidDel="00000000" w:rsidR="00000000" w:rsidRPr="00000000">
        <w:rPr>
          <w:rtl w:val="0"/>
        </w:rPr>
      </w:r>
    </w:p>
    <w:p w:rsidR="00000000" w:rsidDel="00000000" w:rsidP="00000000" w:rsidRDefault="00000000" w:rsidRPr="00000000" w14:paraId="00000021">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Siemens. Readiness for Predictive Maintenance at Scale: 2023 Report. Siemens. 2023. Accessed March 1, 2026. </w:t>
      </w:r>
      <w:hyperlink r:id="rId16">
        <w:r w:rsidDel="00000000" w:rsidR="00000000" w:rsidRPr="00000000">
          <w:rPr>
            <w:rFonts w:ascii="Avenir" w:cs="Avenir" w:eastAsia="Avenir" w:hAnsi="Avenir"/>
            <w:sz w:val="15"/>
            <w:szCs w:val="15"/>
            <w:rtl w:val="0"/>
          </w:rPr>
          <w:t xml:space="preserve">https://assets.new.siemens.com/siemens/assets/api/uuid:8ee59c19-1c37-4516-a290-2844096f1cff/Readiness-Report-2023_original.pdf</w:t>
        </w:r>
      </w:hyperlink>
      <w:r w:rsidDel="00000000" w:rsidR="00000000" w:rsidRPr="00000000">
        <w:rPr>
          <w:rtl w:val="0"/>
        </w:rPr>
      </w:r>
    </w:p>
    <w:p w:rsidR="00000000" w:rsidDel="00000000" w:rsidP="00000000" w:rsidRDefault="00000000" w:rsidRPr="00000000" w14:paraId="00000022">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Bustinza OF, Molina LM, Vendrell-Herrero F, Opazo-Basáez M. AI-enabled smart manufacturing boosts ecosystem value capture. Int J Prod Econ. 2024;277:109411. doi:10.1016/j.ijpe.2024.109411</w:t>
      </w:r>
    </w:p>
    <w:p w:rsidR="00000000" w:rsidDel="00000000" w:rsidP="00000000" w:rsidRDefault="00000000" w:rsidRPr="00000000" w14:paraId="00000023">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Sundin E, Elo K, Lee HM. Design for automatic end-of-life processes. Assembly Automation. 2012;32(4):389-398.</w:t>
      </w:r>
    </w:p>
    <w:p w:rsidR="00000000" w:rsidDel="00000000" w:rsidP="00000000" w:rsidRDefault="00000000" w:rsidRPr="00000000" w14:paraId="00000024">
      <w:pPr>
        <w:numPr>
          <w:ilvl w:val="0"/>
          <w:numId w:val="1"/>
        </w:numPr>
        <w:spacing w:after="0" w:afterAutospacing="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Hilton B. Design for Remanufacturing. REMADE Institute / US Department of Energy; 2021. doi:10.2172/1876418</w:t>
      </w:r>
    </w:p>
    <w:p w:rsidR="00000000" w:rsidDel="00000000" w:rsidP="00000000" w:rsidRDefault="00000000" w:rsidRPr="00000000" w14:paraId="00000025">
      <w:pPr>
        <w:numPr>
          <w:ilvl w:val="0"/>
          <w:numId w:val="1"/>
        </w:numPr>
        <w:spacing w:after="360" w:before="0" w:beforeAutospacing="0"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McKinsey and Company. Why aftermarket and service are vital to OEMs and how to excel. McKinsey and Company. Accessed March 18, 2026. </w:t>
      </w:r>
      <w:hyperlink r:id="rId17">
        <w:r w:rsidDel="00000000" w:rsidR="00000000" w:rsidRPr="00000000">
          <w:rPr>
            <w:rFonts w:ascii="Avenir" w:cs="Avenir" w:eastAsia="Avenir" w:hAnsi="Avenir"/>
            <w:sz w:val="15"/>
            <w:szCs w:val="15"/>
            <w:rtl w:val="0"/>
          </w:rPr>
          <w:t xml:space="preserve">https://www.mckinsey.com/~/media/mckinsey/industries/advanced%20electronics/our%20insights/why%20aftermarket%20and%20service%20are%20vital%20to%20oems%20and%20how%20to%20excel/why-aftermarket-and-service-are-vital-to-oems-and-how-to-excel-vf.pdf</w:t>
        </w:r>
      </w:hyperlink>
      <w:r w:rsidDel="00000000" w:rsidR="00000000" w:rsidRPr="00000000">
        <w:rPr>
          <w:rtl w:val="0"/>
        </w:rPr>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2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2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3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3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3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36">
      <w:pPr>
        <w:rPr>
          <w:rFonts w:ascii="Avenir" w:cs="Avenir" w:eastAsia="Avenir" w:hAnsi="Avenir"/>
        </w:rPr>
      </w:pPr>
      <w:r w:rsidDel="00000000" w:rsidR="00000000" w:rsidRPr="00000000">
        <w:rPr>
          <w:rtl w:val="0"/>
        </w:rPr>
      </w:r>
    </w:p>
    <w:sectPr>
      <w:headerReference r:id="rId1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eur-lex.europa.eu/legal-content/EN/TXT/?uri=CELEX%3A32024R1781&amp;qid=1719580391746" TargetMode="External"/><Relationship Id="rId10" Type="http://schemas.openxmlformats.org/officeDocument/2006/relationships/hyperlink" Target="https://eur-lex.europa.eu/legal-content/EN/TXT/?uri=CELEX%3A32024R1252" TargetMode="External"/><Relationship Id="rId13" Type="http://schemas.openxmlformats.org/officeDocument/2006/relationships/hyperlink" Target="https://eur-lex.europa.eu/legal-content/EN/TXT/?uri=CELEX:52025DC0187" TargetMode="External"/><Relationship Id="rId12" Type="http://schemas.openxmlformats.org/officeDocument/2006/relationships/hyperlink" Target="http://data.europa.eu/eli/reg/2023/1542/oj"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llenmacarthurfoundation.org/artificial-intelligence-and-the-circular-economy" TargetMode="External"/><Relationship Id="rId15" Type="http://schemas.openxmlformats.org/officeDocument/2006/relationships/hyperlink" Target="https://www.mckinsey.com/capabilities/operations/our-insights/manufacturing-analytics-unleashes-productivity-and-profitability" TargetMode="External"/><Relationship Id="rId14" Type="http://schemas.openxmlformats.org/officeDocument/2006/relationships/hyperlink" Target="https://www.hannovermesse.de/apollo/hannover_messe_2021/obs/Binary/A1086204/EN%20-%20Enabling%20the%20EaaS%20Model-Insurance%20and%20Financing%20Strategies%20LR.pdf" TargetMode="External"/><Relationship Id="rId17" Type="http://schemas.openxmlformats.org/officeDocument/2006/relationships/hyperlink" Target="https://www.mckinsey.com/~/media/mckinsey/industries/advanced%20electronics/our%20insights/why%20aftermarket%20and%20service%20are%20vital%20to%20oems%20and%20how%20to%20excel/why-aftermarket-and-service-are-vital-to-oems-and-how-to-excel-vf.pdf" TargetMode="External"/><Relationship Id="rId16" Type="http://schemas.openxmlformats.org/officeDocument/2006/relationships/hyperlink" Target="https://assets.new.siemens.com/siemens/assets/api/uuid:8ee59c19-1c37-4516-a290-2844096f1cff/Readiness-Report-2023_original.pdf" TargetMode="External"/><Relationship Id="rId5" Type="http://schemas.openxmlformats.org/officeDocument/2006/relationships/styles" Target="styles.xml"/><Relationship Id="rId6" Type="http://schemas.openxmlformats.org/officeDocument/2006/relationships/hyperlink" Target="https://ec.europa.eu/eurostat/statistics-explained/index.php?title=International_trade_in_critical_raw_materials" TargetMode="External"/><Relationship Id="rId18" Type="http://schemas.openxmlformats.org/officeDocument/2006/relationships/header" Target="header1.xml"/><Relationship Id="rId7" Type="http://schemas.openxmlformats.org/officeDocument/2006/relationships/hyperlink" Target="https://ec.europa.eu/eurostat/statistics-explained/index.php?title=Waste_statistics_-_electrical_and_electronic_equipment" TargetMode="External"/><Relationship Id="rId8" Type="http://schemas.openxmlformats.org/officeDocument/2006/relationships/hyperlink" Target="https://www.international-partnerships.ec.europa.eu/policies/programming/projects/e-waste-management-ghana-grave-cradle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