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5b9bd5"/>
          <w:sz w:val="24"/>
          <w:szCs w:val="24"/>
          <w:rtl w:val="0"/>
        </w:rPr>
        <w:t xml:space="preserve">ANNOTE</w:t>
      </w:r>
      <w:r w:rsidDel="00000000" w:rsidR="00000000" w:rsidRPr="00000000">
        <w:rPr>
          <w:rtl w:val="0"/>
        </w:rPr>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sz w:val="18"/>
          <w:szCs w:val="18"/>
        </w:rPr>
      </w:pPr>
      <w:r w:rsidDel="00000000" w:rsidR="00000000" w:rsidRPr="00000000">
        <w:rPr>
          <w:rFonts w:ascii="Avenir" w:cs="Avenir" w:eastAsia="Avenir" w:hAnsi="Avenir"/>
          <w:sz w:val="18"/>
          <w:szCs w:val="18"/>
          <w:rtl w:val="0"/>
        </w:rPr>
        <w:t xml:space="preserve">The Expert Pipeline for Industrial Training Data</w:t>
      </w:r>
      <w:r w:rsidDel="00000000" w:rsidR="00000000" w:rsidRPr="00000000">
        <w:rPr>
          <w:rtl w:val="0"/>
        </w:rPr>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ANNOTE is a domain-led data labeling platform designed to power the next generation of IFMs by transforming raw, open-source engineering assets into validated training sets. Currently, industrial AI is trapped in narrow operational silos. While large language models achieved broad generalization by pre-training on the full, messy diversity of human internet discourse, manufacturing AI often relies on narrow, task-specific industrial datasets and still faces generalization limits. As a result, they suffer from severe domain shift, failing the moment operating conditions or defect types deviate from a specific plant's exact distribution [1,2]. The underlying problem is structural: while there are vast open-source resources containing millions of 3D CAD models, process logs, and mechanical configurations available, they largely remain unlabeled and invisible to model builders. Consequently, AI teams spend </w:t>
      </w:r>
      <w:r w:rsidDel="00000000" w:rsidR="00000000" w:rsidRPr="00000000">
        <w:rPr>
          <w:rFonts w:ascii="Avenir" w:cs="Avenir" w:eastAsia="Avenir" w:hAnsi="Avenir"/>
          <w:color w:val="3c3f42"/>
          <w:sz w:val="15"/>
          <w:szCs w:val="15"/>
          <w:rtl w:val="0"/>
        </w:rPr>
        <w:t xml:space="preserve">up to 80%</w:t>
      </w:r>
      <w:r w:rsidDel="00000000" w:rsidR="00000000" w:rsidRPr="00000000">
        <w:rPr>
          <w:rFonts w:ascii="Avenir" w:cs="Avenir" w:eastAsia="Avenir" w:hAnsi="Avenir"/>
          <w:color w:val="3c3f42"/>
          <w:sz w:val="15"/>
          <w:szCs w:val="15"/>
          <w:rtl w:val="0"/>
        </w:rPr>
        <w:t xml:space="preserve"> of their project time on basic data preparation, according to industry estimates [3].</w:t>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br w:type="textWrapping"/>
        <w:t xml:space="preserve">Research confirms that data diversity and quality must be balanced jointly to maximize downstream generalization [4]. </w:t>
      </w:r>
      <w:r w:rsidDel="00000000" w:rsidR="00000000" w:rsidRPr="00000000">
        <w:rPr>
          <w:rFonts w:ascii="Avenir" w:cs="Avenir" w:eastAsia="Avenir" w:hAnsi="Avenir"/>
          <w:color w:val="3c3f42"/>
          <w:sz w:val="15"/>
          <w:szCs w:val="15"/>
          <w:rtl w:val="0"/>
        </w:rPr>
        <w:t xml:space="preserve">Using a wide variety of pre-training data creates essential foundational knowledge that fine-tuning alone cannot provide.</w:t>
      </w:r>
      <w:r w:rsidDel="00000000" w:rsidR="00000000" w:rsidRPr="00000000">
        <w:rPr>
          <w:rFonts w:ascii="Avenir" w:cs="Avenir" w:eastAsia="Avenir" w:hAnsi="Avenir"/>
          <w:color w:val="3c3f42"/>
          <w:sz w:val="15"/>
          <w:szCs w:val="15"/>
          <w:rtl w:val="0"/>
        </w:rPr>
        <w:t xml:space="preserve"> [5]. Industrial models currently lack this broad pre-training layer.</w:t>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7">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Recent evidence shows that high-quality human-in-the-loop annotation, including expert-level feedback, has become a critical component in training advanced AI systems at scale [6]. ANNOTE adapts this model for the industrial sector. Because active engineers are scarce, ANNOTE mobilizes an underutilized workforce of advanced engineering students and retired professionals. This specialized talent possesses the precise foundational knowledge required to accurately categorize broad-spectrum open-source datasets. By exclusively utilizing public repositories, ANNOTE bypasses the risk of exposing corporate intellectual property and resolves the primary bottleneck to scaling industrial AI [1,2].</w:t>
      </w:r>
    </w:p>
    <w:p w:rsidR="00000000" w:rsidDel="00000000" w:rsidP="00000000" w:rsidRDefault="00000000" w:rsidRPr="00000000" w14:paraId="00000008">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9">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ANNOTE's datasets are not highly classified, proprietary factory secrets. Instead, they are the structurally necessary breadth layer without which pre-training remains narrow and generalization poor. By deploying a specialized workforce to label a fragmented open-source landscape, ANNOTE is building the diversity-rich pre-training infrastructure that the global industrial AI supply chain currently lacks [4,5].</w:t>
      </w:r>
    </w:p>
    <w:p w:rsidR="00000000" w:rsidDel="00000000" w:rsidP="00000000" w:rsidRDefault="00000000" w:rsidRPr="00000000" w14:paraId="0000000A">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B">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tl w:val="0"/>
        </w:rPr>
      </w:r>
    </w:p>
    <w:p w:rsidR="00000000" w:rsidDel="00000000" w:rsidP="00000000" w:rsidRDefault="00000000" w:rsidRPr="00000000" w14:paraId="0000000C">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0D">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0E">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0F">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10">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5b9bd5"/>
          <w:sz w:val="24"/>
          <w:szCs w:val="24"/>
          <w:rtl w:val="0"/>
        </w:rPr>
        <w:t xml:space="preserve">Problem</w:t>
      </w:r>
      <w:r w:rsidDel="00000000" w:rsidR="00000000" w:rsidRPr="00000000">
        <w:rPr>
          <w:rtl w:val="0"/>
        </w:rPr>
      </w:r>
    </w:p>
    <w:p w:rsidR="00000000" w:rsidDel="00000000" w:rsidP="00000000" w:rsidRDefault="00000000" w:rsidRPr="00000000" w14:paraId="00000012">
      <w:pPr>
        <w:pBdr>
          <w:top w:color="000000" w:space="0" w:sz="0" w:val="none"/>
          <w:left w:color="000000" w:space="0" w:sz="0" w:val="none"/>
          <w:bottom w:color="000000" w:space="0" w:sz="0" w:val="none"/>
          <w:right w:color="000000" w:space="0" w:sz="0" w:val="none"/>
          <w:between w:color="000000" w:space="0" w:sz="0" w:val="none"/>
        </w:pBdr>
        <w:spacing w:line="240" w:lineRule="auto"/>
        <w:ind w:left="720" w:firstLine="0"/>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13">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Accurately labeled industrial data is critically scarce. Millions of raw datasets across open-source platforms remain entirely invisible to training pipelines, depriving IFMs of the diversity required for robust generalization [1,2].</w:t>
      </w:r>
    </w:p>
    <w:p w:rsidR="00000000" w:rsidDel="00000000" w:rsidP="00000000" w:rsidRDefault="00000000" w:rsidRPr="00000000" w14:paraId="00000014">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Training on isolated and homogeneous datasets produces models prone to overfitting. These models fail to generalize across diverse manufacturing floors because single-firm silos lack the structural diversity </w:t>
      </w:r>
      <w:r w:rsidDel="00000000" w:rsidR="00000000" w:rsidRPr="00000000">
        <w:rPr>
          <w:rFonts w:ascii="Avenir" w:cs="Avenir" w:eastAsia="Avenir" w:hAnsi="Avenir"/>
          <w:color w:val="3c3f42"/>
          <w:sz w:val="15"/>
          <w:szCs w:val="15"/>
          <w:rtl w:val="0"/>
        </w:rPr>
        <w:t xml:space="preserve">that </w:t>
      </w:r>
      <w:r w:rsidDel="00000000" w:rsidR="00000000" w:rsidRPr="00000000">
        <w:rPr>
          <w:rFonts w:ascii="Avenir" w:cs="Avenir" w:eastAsia="Avenir" w:hAnsi="Avenir"/>
          <w:color w:val="3c3f42"/>
          <w:sz w:val="15"/>
          <w:szCs w:val="15"/>
          <w:rtl w:val="0"/>
        </w:rPr>
        <w:t xml:space="preserve">robust IFMs require [1].</w:t>
      </w:r>
    </w:p>
    <w:p w:rsidR="00000000" w:rsidDel="00000000" w:rsidP="00000000" w:rsidRDefault="00000000" w:rsidRPr="00000000" w14:paraId="00000015">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Validating industrial data requires specialized expertise that firms struggle to allocate efficiently. </w:t>
      </w:r>
      <w:r w:rsidDel="00000000" w:rsidR="00000000" w:rsidRPr="00000000">
        <w:rPr>
          <w:rFonts w:ascii="Avenir" w:cs="Avenir" w:eastAsia="Avenir" w:hAnsi="Avenir"/>
          <w:color w:val="3c3f42"/>
          <w:sz w:val="15"/>
          <w:szCs w:val="15"/>
          <w:rtl w:val="0"/>
        </w:rPr>
        <w:t xml:space="preserve">Gartner </w:t>
      </w:r>
      <w:r w:rsidDel="00000000" w:rsidR="00000000" w:rsidRPr="00000000">
        <w:rPr>
          <w:rFonts w:ascii="Avenir" w:cs="Avenir" w:eastAsia="Avenir" w:hAnsi="Avenir"/>
          <w:color w:val="3c3f42"/>
          <w:sz w:val="15"/>
          <w:szCs w:val="15"/>
          <w:rtl w:val="0"/>
        </w:rPr>
        <w:t xml:space="preserve">estimates that by 2026, organizations will abandon 60% of AI projects due to insufficiently prepared training data [11].</w:t>
      </w:r>
    </w:p>
    <w:p w:rsidR="00000000" w:rsidDel="00000000" w:rsidP="00000000" w:rsidRDefault="00000000" w:rsidRPr="00000000" w14:paraId="00000016">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Industrial datasets remain trapped in proprietary silos as firms fear sharing operational information could expose core competitive advantages [12].</w:t>
      </w:r>
    </w:p>
    <w:p w:rsidR="00000000" w:rsidDel="00000000" w:rsidP="00000000" w:rsidRDefault="00000000" w:rsidRPr="00000000" w14:paraId="00000017">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i w:val="1"/>
          <w:iCs w:val="1"/>
          <w:color w:val="3c3f42"/>
          <w:sz w:val="15"/>
          <w:szCs w:val="15"/>
        </w:rPr>
      </w:pPr>
      <w:r w:rsidDel="00000000" w:rsidR="00000000" w:rsidRPr="00000000">
        <w:rPr>
          <w:rtl w:val="0"/>
        </w:rPr>
      </w:r>
    </w:p>
    <w:p w:rsidR="00000000" w:rsidDel="00000000" w:rsidP="00000000" w:rsidRDefault="00000000" w:rsidRPr="00000000" w14:paraId="00000018">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i w:val="1"/>
          <w:iCs w:val="1"/>
          <w:color w:val="3c3f42"/>
          <w:sz w:val="15"/>
          <w:szCs w:val="15"/>
        </w:rPr>
      </w:pPr>
      <w:r w:rsidDel="00000000" w:rsidR="00000000" w:rsidRPr="00000000">
        <w:rPr>
          <w:rFonts w:ascii="Avenir" w:cs="Avenir" w:eastAsia="Avenir" w:hAnsi="Avenir"/>
          <w:i w:val="1"/>
          <w:iCs w:val="1"/>
          <w:color w:val="3c3f42"/>
          <w:sz w:val="15"/>
          <w:szCs w:val="15"/>
          <w:rtl w:val="0"/>
        </w:rPr>
        <w:t xml:space="preserve">ANNOTE must transform fragmented public archives into diverse expert-labeled assets to fuel next-generation industrial foundation models.</w:t>
      </w:r>
    </w:p>
    <w:p w:rsidR="00000000" w:rsidDel="00000000" w:rsidP="00000000" w:rsidRDefault="00000000" w:rsidRPr="00000000" w14:paraId="00000019">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14"/>
          <w:szCs w:val="14"/>
        </w:rPr>
      </w:pPr>
      <w:r w:rsidDel="00000000" w:rsidR="00000000" w:rsidRPr="00000000">
        <w:rPr>
          <w:rtl w:val="0"/>
        </w:rPr>
      </w:r>
    </w:p>
    <w:p w:rsidR="00000000" w:rsidDel="00000000" w:rsidP="00000000" w:rsidRDefault="00000000" w:rsidRPr="00000000" w14:paraId="0000001A">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14"/>
          <w:szCs w:val="14"/>
        </w:rPr>
      </w:pPr>
      <w:r w:rsidDel="00000000" w:rsidR="00000000" w:rsidRPr="00000000">
        <w:rPr>
          <w:rtl w:val="0"/>
        </w:rPr>
      </w:r>
    </w:p>
    <w:p w:rsidR="00000000" w:rsidDel="00000000" w:rsidP="00000000" w:rsidRDefault="00000000" w:rsidRPr="00000000" w14:paraId="0000001B">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5b9bd5"/>
          <w:sz w:val="24"/>
          <w:szCs w:val="24"/>
          <w:rtl w:val="0"/>
        </w:rPr>
        <w:t xml:space="preserve">Solution</w:t>
      </w:r>
    </w:p>
    <w:p w:rsidR="00000000" w:rsidDel="00000000" w:rsidP="00000000" w:rsidRDefault="00000000" w:rsidRPr="00000000" w14:paraId="0000001C">
      <w:pPr>
        <w:pBdr>
          <w:top w:color="000000" w:space="0" w:sz="0" w:val="none"/>
          <w:left w:color="000000" w:space="0" w:sz="0" w:val="none"/>
          <w:bottom w:color="000000" w:space="0" w:sz="0" w:val="none"/>
          <w:right w:color="000000" w:space="0" w:sz="0" w:val="none"/>
          <w:between w:color="000000" w:space="0" w:sz="0" w:val="none"/>
        </w:pBdr>
        <w:spacing w:line="240" w:lineRule="auto"/>
        <w:ind w:left="720" w:firstLine="0"/>
        <w:jc w:val="both"/>
        <w:rPr>
          <w:rFonts w:ascii="Avenir" w:cs="Avenir" w:eastAsia="Avenir" w:hAnsi="Avenir"/>
          <w:sz w:val="15"/>
          <w:szCs w:val="15"/>
        </w:rPr>
      </w:pPr>
      <w:r w:rsidDel="00000000" w:rsidR="00000000" w:rsidRPr="00000000">
        <w:rPr>
          <w:rtl w:val="0"/>
        </w:rPr>
      </w:r>
    </w:p>
    <w:p w:rsidR="00000000" w:rsidDel="00000000" w:rsidP="00000000" w:rsidRDefault="00000000" w:rsidRPr="00000000" w14:paraId="0000001D">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ANNOTE accelerates the </w:t>
      </w:r>
      <w:r w:rsidDel="00000000" w:rsidR="00000000" w:rsidRPr="00000000">
        <w:rPr>
          <w:rFonts w:ascii="Avenir" w:cs="Avenir" w:eastAsia="Avenir" w:hAnsi="Avenir"/>
          <w:color w:val="3c3f42"/>
          <w:sz w:val="15"/>
          <w:szCs w:val="15"/>
          <w:rtl w:val="0"/>
        </w:rPr>
        <w:t xml:space="preserve">development of IFMs</w:t>
      </w:r>
      <w:r w:rsidDel="00000000" w:rsidR="00000000" w:rsidRPr="00000000">
        <w:rPr>
          <w:rFonts w:ascii="Avenir" w:cs="Avenir" w:eastAsia="Avenir" w:hAnsi="Avenir"/>
          <w:color w:val="3c3f42"/>
          <w:sz w:val="15"/>
          <w:szCs w:val="15"/>
          <w:rtl w:val="0"/>
        </w:rPr>
        <w:t xml:space="preserve"> by unlocking untapped open-source archives and combining specialized talent with robust quality assurance.</w:t>
      </w:r>
    </w:p>
    <w:p w:rsidR="00000000" w:rsidDel="00000000" w:rsidP="00000000" w:rsidRDefault="00000000" w:rsidRPr="00000000" w14:paraId="0000001E">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The approach of multisource aggregation enhances overall model diversity, preventing overfitting and fostering resilient AI that uncovers insights beyond the limited scope of single-firm datasets.</w:t>
      </w:r>
    </w:p>
    <w:p w:rsidR="00000000" w:rsidDel="00000000" w:rsidP="00000000" w:rsidRDefault="00000000" w:rsidRPr="00000000" w14:paraId="0000001F">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Furthermore, ANNOTE bridges the expertise gap through a curated pool of engineering students and retirees. This streamlines the validation of complex physics data, ensuring high-fidelity labels for OEMs without requiring them to allocate expensive internal talent to data preparation.</w:t>
      </w:r>
    </w:p>
    <w:p w:rsidR="00000000" w:rsidDel="00000000" w:rsidP="00000000" w:rsidRDefault="00000000" w:rsidRPr="00000000" w14:paraId="00000020">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By curating millions of files from platforms such as Thingiverse, GrabCAD, and the ABC Dataset, ANNOTE successfully bypasses IP restrictions and repurposes 3D models into high-quality training data.</w:t>
      </w:r>
    </w:p>
    <w:p w:rsidR="00000000" w:rsidDel="00000000" w:rsidP="00000000" w:rsidRDefault="00000000" w:rsidRPr="00000000" w14:paraId="0000002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2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i w:val="1"/>
          <w:iCs w:val="1"/>
          <w:color w:val="3c3f42"/>
          <w:sz w:val="15"/>
          <w:szCs w:val="15"/>
        </w:rPr>
      </w:pPr>
      <w:r w:rsidDel="00000000" w:rsidR="00000000" w:rsidRPr="00000000">
        <w:rPr>
          <w:rFonts w:ascii="Avenir" w:cs="Avenir" w:eastAsia="Avenir" w:hAnsi="Avenir"/>
          <w:i w:val="1"/>
          <w:iCs w:val="1"/>
          <w:color w:val="3c3f42"/>
          <w:sz w:val="15"/>
          <w:szCs w:val="15"/>
          <w:rtl w:val="0"/>
        </w:rPr>
        <w:t xml:space="preserve">Through expert validation</w:t>
      </w:r>
      <w:r w:rsidDel="00000000" w:rsidR="00000000" w:rsidRPr="00000000">
        <w:rPr>
          <w:rFonts w:ascii="Avenir" w:cs="Avenir" w:eastAsia="Avenir" w:hAnsi="Avenir"/>
          <w:i w:val="1"/>
          <w:iCs w:val="1"/>
          <w:color w:val="3c3f42"/>
          <w:sz w:val="15"/>
          <w:szCs w:val="15"/>
          <w:rtl w:val="0"/>
        </w:rPr>
        <w:t xml:space="preserve">, ANNOTE transforms unusable raw data into high-performance training assets for industrial foundation models.</w:t>
      </w:r>
    </w:p>
    <w:p w:rsidR="00000000" w:rsidDel="00000000" w:rsidP="00000000" w:rsidRDefault="00000000" w:rsidRPr="00000000" w14:paraId="0000002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i w:val="1"/>
          <w:iCs w:val="1"/>
          <w:color w:val="3c3f42"/>
          <w:sz w:val="15"/>
          <w:szCs w:val="15"/>
        </w:rPr>
      </w:pPr>
      <w:r w:rsidDel="00000000" w:rsidR="00000000" w:rsidRPr="00000000">
        <w:rPr>
          <w:rtl w:val="0"/>
        </w:rPr>
      </w:r>
    </w:p>
    <w:p w:rsidR="00000000" w:rsidDel="00000000" w:rsidP="00000000" w:rsidRDefault="00000000" w:rsidRPr="00000000" w14:paraId="00000024">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tl w:val="0"/>
        </w:rPr>
      </w:r>
    </w:p>
    <w:p w:rsidR="00000000" w:rsidDel="00000000" w:rsidP="00000000" w:rsidRDefault="00000000" w:rsidRPr="00000000" w14:paraId="00000025">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tl w:val="0"/>
        </w:rPr>
      </w:r>
    </w:p>
    <w:p w:rsidR="00000000" w:rsidDel="00000000" w:rsidP="00000000" w:rsidRDefault="00000000" w:rsidRPr="00000000" w14:paraId="00000026">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tl w:val="0"/>
        </w:rPr>
      </w:r>
    </w:p>
    <w:p w:rsidR="00000000" w:rsidDel="00000000" w:rsidP="00000000" w:rsidRDefault="00000000" w:rsidRPr="00000000" w14:paraId="00000027">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tl w:val="0"/>
        </w:rPr>
      </w:r>
    </w:p>
    <w:p w:rsidR="00000000" w:rsidDel="00000000" w:rsidP="00000000" w:rsidRDefault="00000000" w:rsidRPr="00000000" w14:paraId="00000028">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tl w:val="0"/>
        </w:rPr>
      </w:r>
    </w:p>
    <w:p w:rsidR="00000000" w:rsidDel="00000000" w:rsidP="00000000" w:rsidRDefault="00000000" w:rsidRPr="00000000" w14:paraId="00000029">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tl w:val="0"/>
        </w:rPr>
      </w:r>
    </w:p>
    <w:p w:rsidR="00000000" w:rsidDel="00000000" w:rsidP="00000000" w:rsidRDefault="00000000" w:rsidRPr="00000000" w14:paraId="0000002A">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tl w:val="0"/>
        </w:rPr>
      </w:r>
    </w:p>
    <w:p w:rsidR="00000000" w:rsidDel="00000000" w:rsidP="00000000" w:rsidRDefault="00000000" w:rsidRPr="00000000" w14:paraId="0000002B">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tl w:val="0"/>
        </w:rPr>
      </w:r>
    </w:p>
    <w:p w:rsidR="00000000" w:rsidDel="00000000" w:rsidP="00000000" w:rsidRDefault="00000000" w:rsidRPr="00000000" w14:paraId="0000002C">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tl w:val="0"/>
        </w:rPr>
      </w:r>
    </w:p>
    <w:p w:rsidR="00000000" w:rsidDel="00000000" w:rsidP="00000000" w:rsidRDefault="00000000" w:rsidRPr="00000000" w14:paraId="0000002D">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sz w:val="14"/>
          <w:szCs w:val="14"/>
        </w:rPr>
      </w:pPr>
      <w:r w:rsidDel="00000000" w:rsidR="00000000" w:rsidRPr="00000000">
        <w:rPr>
          <w:rtl w:val="0"/>
        </w:rPr>
      </w:r>
    </w:p>
    <w:p w:rsidR="00000000" w:rsidDel="00000000" w:rsidP="00000000" w:rsidRDefault="00000000" w:rsidRPr="00000000" w14:paraId="0000002E">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14"/>
          <w:szCs w:val="14"/>
        </w:rPr>
      </w:pPr>
      <w:r w:rsidDel="00000000" w:rsidR="00000000" w:rsidRPr="00000000">
        <w:rPr>
          <w:rtl w:val="0"/>
        </w:rPr>
      </w:r>
    </w:p>
    <w:p w:rsidR="00000000" w:rsidDel="00000000" w:rsidP="00000000" w:rsidRDefault="00000000" w:rsidRPr="00000000" w14:paraId="0000002F">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0">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5b9bd5"/>
          <w:sz w:val="24"/>
          <w:szCs w:val="24"/>
          <w:rtl w:val="0"/>
        </w:rPr>
        <w:t xml:space="preserve">Market Drivers</w:t>
      </w:r>
    </w:p>
    <w:p w:rsidR="00000000" w:rsidDel="00000000" w:rsidP="00000000" w:rsidRDefault="00000000" w:rsidRPr="00000000" w14:paraId="00000031">
      <w:pPr>
        <w:pBdr>
          <w:top w:color="000000" w:space="0" w:sz="0" w:val="none"/>
          <w:left w:color="000000" w:space="0" w:sz="0" w:val="none"/>
          <w:bottom w:color="000000" w:space="0" w:sz="0" w:val="none"/>
          <w:right w:color="000000" w:space="0" w:sz="0" w:val="none"/>
          <w:between w:color="000000" w:space="0" w:sz="0" w:val="none"/>
        </w:pBdr>
        <w:spacing w:line="240" w:lineRule="auto"/>
        <w:ind w:left="720" w:firstLine="0"/>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32">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The market potential for data labeling is driven by a convergence of global regulatory mandates and structural shifts toward high-fidelity AI.</w:t>
      </w:r>
    </w:p>
    <w:p w:rsidR="00000000" w:rsidDel="00000000" w:rsidP="00000000" w:rsidRDefault="00000000" w:rsidRPr="00000000" w14:paraId="00000033">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The global data collection and labeling market is projected to reach 17.1B USD by 2030, reflecting a CAGR of 28.4% [13].</w:t>
      </w:r>
    </w:p>
    <w:p w:rsidR="00000000" w:rsidDel="00000000" w:rsidP="00000000" w:rsidRDefault="00000000" w:rsidRPr="00000000" w14:paraId="00000034">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As IFMs mature, AI teams spend approximately 80% of project effort on data preparation, making expert curation of telemetry and sensor streams the primary bottleneck rather than algorithm design [3].</w:t>
      </w:r>
    </w:p>
    <w:p w:rsidR="00000000" w:rsidDel="00000000" w:rsidP="00000000" w:rsidRDefault="00000000" w:rsidRPr="00000000" w14:paraId="00000035">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Market demand is catalyzed by the EU AI Act, which mandates that high-risk industrial AI systems utilize training and validation datasets that are relevant, representative, and free of errors [14].</w:t>
      </w:r>
    </w:p>
    <w:p w:rsidR="00000000" w:rsidDel="00000000" w:rsidP="00000000" w:rsidRDefault="00000000" w:rsidRPr="00000000" w14:paraId="00000036">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The EU Data Act supports this expansion by mandating machine data portability, unlocking vast silos of telemetry that require professional labeling to be converted into tradable AI-ready assets [15].</w:t>
      </w:r>
    </w:p>
    <w:p w:rsidR="00000000" w:rsidDel="00000000" w:rsidP="00000000" w:rsidRDefault="00000000" w:rsidRPr="00000000" w14:paraId="00000037">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38">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i w:val="1"/>
          <w:iCs w:val="1"/>
          <w:color w:val="3c3f42"/>
          <w:sz w:val="15"/>
          <w:szCs w:val="15"/>
        </w:rPr>
      </w:pPr>
      <w:r w:rsidDel="00000000" w:rsidR="00000000" w:rsidRPr="00000000">
        <w:rPr>
          <w:rFonts w:ascii="Avenir" w:cs="Avenir" w:eastAsia="Avenir" w:hAnsi="Avenir"/>
          <w:i w:val="1"/>
          <w:iCs w:val="1"/>
          <w:color w:val="3c3f42"/>
          <w:sz w:val="15"/>
          <w:szCs w:val="15"/>
          <w:rtl w:val="0"/>
        </w:rPr>
        <w:t xml:space="preserve">EU regulation is unlocking industrial data at unprecedented scale. ANNOTE converts the flood into AI-ready training assets.</w:t>
      </w:r>
    </w:p>
    <w:p w:rsidR="00000000" w:rsidDel="00000000" w:rsidP="00000000" w:rsidRDefault="00000000" w:rsidRPr="00000000" w14:paraId="00000039">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4"/>
          <w:szCs w:val="14"/>
        </w:rPr>
      </w:pPr>
      <w:r w:rsidDel="00000000" w:rsidR="00000000" w:rsidRPr="00000000">
        <w:rPr>
          <w:rtl w:val="0"/>
        </w:rPr>
      </w:r>
    </w:p>
    <w:p w:rsidR="00000000" w:rsidDel="00000000" w:rsidP="00000000" w:rsidRDefault="00000000" w:rsidRPr="00000000" w14:paraId="0000003A">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14"/>
          <w:szCs w:val="14"/>
        </w:rPr>
      </w:pPr>
      <w:r w:rsidDel="00000000" w:rsidR="00000000" w:rsidRPr="00000000">
        <w:rPr>
          <w:rtl w:val="0"/>
        </w:rPr>
      </w:r>
    </w:p>
    <w:p w:rsidR="00000000" w:rsidDel="00000000" w:rsidP="00000000" w:rsidRDefault="00000000" w:rsidRPr="00000000" w14:paraId="0000003B">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Fonts w:ascii="Avenir" w:cs="Avenir" w:eastAsia="Avenir" w:hAnsi="Avenir"/>
          <w:b w:val="1"/>
          <w:bCs w:val="1"/>
          <w:color w:val="5b9bd5"/>
          <w:sz w:val="24"/>
          <w:szCs w:val="24"/>
          <w:rtl w:val="0"/>
        </w:rPr>
        <w:t xml:space="preserve">Competitors</w:t>
      </w:r>
      <w:r w:rsidDel="00000000" w:rsidR="00000000" w:rsidRPr="00000000">
        <w:rPr>
          <w:rtl w:val="0"/>
        </w:rPr>
      </w:r>
    </w:p>
    <w:p w:rsidR="00000000" w:rsidDel="00000000" w:rsidP="00000000" w:rsidRDefault="00000000" w:rsidRPr="00000000" w14:paraId="0000003C">
      <w:pPr>
        <w:pBdr>
          <w:top w:color="000000" w:space="0" w:sz="0" w:val="none"/>
          <w:left w:color="000000" w:space="0" w:sz="0" w:val="none"/>
          <w:bottom w:color="000000" w:space="0" w:sz="0" w:val="none"/>
          <w:right w:color="000000" w:space="0" w:sz="0" w:val="none"/>
          <w:between w:color="000000" w:space="0" w:sz="0" w:val="none"/>
        </w:pBdr>
        <w:spacing w:line="240" w:lineRule="auto"/>
        <w:ind w:left="720" w:firstLine="0"/>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3D">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Specialized data annotation providers, </w:t>
      </w:r>
      <w:r w:rsidDel="00000000" w:rsidR="00000000" w:rsidRPr="00000000">
        <w:rPr>
          <w:rFonts w:ascii="Avenir" w:cs="Avenir" w:eastAsia="Avenir" w:hAnsi="Avenir"/>
          <w:color w:val="3c3f42"/>
          <w:sz w:val="15"/>
          <w:szCs w:val="15"/>
          <w:rtl w:val="0"/>
        </w:rPr>
        <w:t xml:space="preserve">such as Surge AI, have demonstrated the scalability of expert-driven labeling </w:t>
      </w:r>
      <w:r w:rsidDel="00000000" w:rsidR="00000000" w:rsidRPr="00000000">
        <w:rPr>
          <w:rFonts w:ascii="Avenir" w:cs="Avenir" w:eastAsia="Avenir" w:hAnsi="Avenir"/>
          <w:color w:val="3c3f42"/>
          <w:sz w:val="15"/>
          <w:szCs w:val="15"/>
          <w:rtl w:val="0"/>
        </w:rPr>
        <w:t xml:space="preserve">for training advanced AI systems [16]. However, it lacks capabilities in the industrial sector.</w:t>
      </w:r>
    </w:p>
    <w:p w:rsidR="00000000" w:rsidDel="00000000" w:rsidP="00000000" w:rsidRDefault="00000000" w:rsidRPr="00000000" w14:paraId="0000003E">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Leading data labeling providers, </w:t>
      </w:r>
      <w:r w:rsidDel="00000000" w:rsidR="00000000" w:rsidRPr="00000000">
        <w:rPr>
          <w:rFonts w:ascii="Avenir" w:cs="Avenir" w:eastAsia="Avenir" w:hAnsi="Avenir"/>
          <w:color w:val="3c3f42"/>
          <w:sz w:val="15"/>
          <w:szCs w:val="15"/>
          <w:rtl w:val="0"/>
        </w:rPr>
        <w:t xml:space="preserve">such as Scale AI, are increasingly expanding into</w:t>
      </w:r>
      <w:r w:rsidDel="00000000" w:rsidR="00000000" w:rsidRPr="00000000">
        <w:rPr>
          <w:rFonts w:ascii="Avenir" w:cs="Avenir" w:eastAsia="Avenir" w:hAnsi="Avenir"/>
          <w:color w:val="3c3f42"/>
          <w:sz w:val="15"/>
          <w:szCs w:val="15"/>
          <w:rtl w:val="0"/>
        </w:rPr>
        <w:t xml:space="preserve"> foundation model infrastructure and large-scale AI system support [</w:t>
      </w:r>
      <w:r w:rsidDel="00000000" w:rsidR="00000000" w:rsidRPr="00000000">
        <w:rPr>
          <w:rFonts w:ascii="Avenir" w:cs="Avenir" w:eastAsia="Avenir" w:hAnsi="Avenir"/>
          <w:color w:val="3c3f42"/>
          <w:sz w:val="15"/>
          <w:szCs w:val="15"/>
          <w:rtl w:val="0"/>
        </w:rPr>
        <w:t xml:space="preserve">18</w:t>
      </w:r>
      <w:r w:rsidDel="00000000" w:rsidR="00000000" w:rsidRPr="00000000">
        <w:rPr>
          <w:rFonts w:ascii="Avenir" w:cs="Avenir" w:eastAsia="Avenir" w:hAnsi="Avenir"/>
          <w:color w:val="3c3f42"/>
          <w:sz w:val="15"/>
          <w:szCs w:val="15"/>
          <w:rtl w:val="0"/>
        </w:rPr>
        <w:t xml:space="preserve">].</w:t>
      </w:r>
    </w:p>
    <w:p w:rsidR="00000000" w:rsidDel="00000000" w:rsidP="00000000" w:rsidRDefault="00000000" w:rsidRPr="00000000" w14:paraId="0000003F">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Generic data labeling BPO companies such as Cogito and Label Your Data serve a global labeling market projected to reach 17.1B USD by 2030 [13]. These providers offer low-cost, high-volume annotation but lack engineering domain expertise.</w:t>
      </w:r>
    </w:p>
    <w:p w:rsidR="00000000" w:rsidDel="00000000" w:rsidP="00000000" w:rsidRDefault="00000000" w:rsidRPr="00000000" w14:paraId="00000040">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Internal data science teams are the default approach, but many remain stuck in pilots because data preparation slows progress [19].</w:t>
      </w:r>
    </w:p>
    <w:p w:rsidR="00000000" w:rsidDel="00000000" w:rsidP="00000000" w:rsidRDefault="00000000" w:rsidRPr="00000000" w14:paraId="00000041">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Industrial data marketplace platforms such as Dawex and GAIA-X address the data distribution problem but solely transport raw, unlabeled datasets [20].</w:t>
      </w:r>
    </w:p>
    <w:p w:rsidR="00000000" w:rsidDel="00000000" w:rsidP="00000000" w:rsidRDefault="00000000" w:rsidRPr="00000000" w14:paraId="0000004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i w:val="1"/>
          <w:iCs w:val="1"/>
          <w:color w:val="3c3f42"/>
          <w:sz w:val="15"/>
          <w:szCs w:val="15"/>
          <w:highlight w:val="yellow"/>
        </w:rPr>
      </w:pPr>
      <w:r w:rsidDel="00000000" w:rsidR="00000000" w:rsidRPr="00000000">
        <w:rPr>
          <w:rtl w:val="0"/>
        </w:rPr>
      </w:r>
    </w:p>
    <w:p w:rsidR="00000000" w:rsidDel="00000000" w:rsidP="00000000" w:rsidRDefault="00000000" w:rsidRPr="00000000" w14:paraId="0000004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i w:val="1"/>
          <w:iCs w:val="1"/>
          <w:color w:val="3c3f42"/>
          <w:sz w:val="15"/>
          <w:szCs w:val="15"/>
        </w:rPr>
      </w:pPr>
      <w:r w:rsidDel="00000000" w:rsidR="00000000" w:rsidRPr="00000000">
        <w:rPr>
          <w:rFonts w:ascii="Avenir" w:cs="Avenir" w:eastAsia="Avenir" w:hAnsi="Avenir"/>
          <w:i w:val="1"/>
          <w:iCs w:val="1"/>
          <w:color w:val="3c3f42"/>
          <w:sz w:val="15"/>
          <w:szCs w:val="15"/>
          <w:rtl w:val="0"/>
        </w:rPr>
        <w:t xml:space="preserve">ANNOTE acts as a bridge in the market, </w:t>
      </w:r>
      <w:r w:rsidDel="00000000" w:rsidR="00000000" w:rsidRPr="00000000">
        <w:rPr>
          <w:rFonts w:ascii="Avenir" w:cs="Avenir" w:eastAsia="Avenir" w:hAnsi="Avenir"/>
          <w:i w:val="1"/>
          <w:iCs w:val="1"/>
          <w:color w:val="3c3f42"/>
          <w:sz w:val="15"/>
          <w:szCs w:val="15"/>
          <w:rtl w:val="0"/>
        </w:rPr>
        <w:t xml:space="preserve">connecting labelers who lack domain expertise with</w:t>
      </w:r>
      <w:r w:rsidDel="00000000" w:rsidR="00000000" w:rsidRPr="00000000">
        <w:rPr>
          <w:rFonts w:ascii="Avenir" w:cs="Avenir" w:eastAsia="Avenir" w:hAnsi="Avenir"/>
          <w:i w:val="1"/>
          <w:iCs w:val="1"/>
          <w:color w:val="3c3f42"/>
          <w:sz w:val="15"/>
          <w:szCs w:val="15"/>
          <w:rtl w:val="0"/>
        </w:rPr>
        <w:t xml:space="preserve"> manufacturers who cannot label their data effectively.</w:t>
      </w:r>
      <w:r w:rsidDel="00000000" w:rsidR="00000000" w:rsidRPr="00000000">
        <w:rPr>
          <w:rtl w:val="0"/>
        </w:rPr>
      </w:r>
    </w:p>
    <w:p w:rsidR="00000000" w:rsidDel="00000000" w:rsidP="00000000" w:rsidRDefault="00000000" w:rsidRPr="00000000" w14:paraId="0000004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tl w:val="0"/>
        </w:rPr>
      </w:r>
    </w:p>
    <w:p w:rsidR="00000000" w:rsidDel="00000000" w:rsidP="00000000" w:rsidRDefault="00000000" w:rsidRPr="00000000" w14:paraId="0000004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6">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5b9bd5"/>
          <w:sz w:val="24"/>
          <w:szCs w:val="24"/>
          <w:rtl w:val="0"/>
        </w:rPr>
        <w:t xml:space="preserve">The Hypothesis</w:t>
      </w:r>
    </w:p>
    <w:p w:rsidR="00000000" w:rsidDel="00000000" w:rsidP="00000000" w:rsidRDefault="00000000" w:rsidRPr="00000000" w14:paraId="00000047">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shd w:fill="d1d2d3" w:val="clear"/>
        </w:rPr>
      </w:pPr>
      <w:r w:rsidDel="00000000" w:rsidR="00000000" w:rsidRPr="00000000">
        <w:rPr>
          <w:rtl w:val="0"/>
        </w:rPr>
      </w:r>
    </w:p>
    <w:p w:rsidR="00000000" w:rsidDel="00000000" w:rsidP="00000000" w:rsidRDefault="00000000" w:rsidRPr="00000000" w14:paraId="00000048">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49">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u w:val="single"/>
        </w:rPr>
      </w:pPr>
      <w:r w:rsidDel="00000000" w:rsidR="00000000" w:rsidRPr="00000000">
        <w:rPr>
          <w:rFonts w:ascii="Avenir" w:cs="Avenir" w:eastAsia="Avenir" w:hAnsi="Avenir"/>
          <w:b w:val="1"/>
          <w:bCs w:val="1"/>
          <w:color w:val="3c3f42"/>
          <w:sz w:val="15"/>
          <w:szCs w:val="15"/>
          <w:u w:val="single"/>
          <w:rtl w:val="0"/>
        </w:rPr>
        <w:t xml:space="preserve">A1: Industrial labeled data is scarce</w:t>
      </w:r>
    </w:p>
    <w:p w:rsidR="00000000" w:rsidDel="00000000" w:rsidP="00000000" w:rsidRDefault="00000000" w:rsidRPr="00000000" w14:paraId="0000004A">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4B">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shd w:fill="d1d2d3" w:val="clear"/>
        </w:rPr>
      </w:pPr>
      <w:r w:rsidDel="00000000" w:rsidR="00000000" w:rsidRPr="00000000">
        <w:rPr>
          <w:rFonts w:ascii="Avenir" w:cs="Avenir" w:eastAsia="Avenir" w:hAnsi="Avenir"/>
          <w:color w:val="3c3f42"/>
          <w:sz w:val="15"/>
          <w:szCs w:val="15"/>
          <w:rtl w:val="0"/>
        </w:rPr>
        <w:t xml:space="preserve">Unlike web or text data, industrial datasets are locked inside factories, stored in proprietary formats, rarely labeled, and almost never published. Readily available labeled industrial datasets are virtually nonexistent, as labeling requires domain expertise, making industrial AI training data scarcer than data in other AI domains. [7,8]</w:t>
      </w:r>
      <w:r w:rsidDel="00000000" w:rsidR="00000000" w:rsidRPr="00000000">
        <w:rPr>
          <w:rtl w:val="0"/>
        </w:rPr>
      </w:r>
    </w:p>
    <w:p w:rsidR="00000000" w:rsidDel="00000000" w:rsidP="00000000" w:rsidRDefault="00000000" w:rsidRPr="00000000" w14:paraId="0000004C">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shd w:fill="d1d2d3" w:val="clear"/>
        </w:rPr>
      </w:pPr>
      <w:r w:rsidDel="00000000" w:rsidR="00000000" w:rsidRPr="00000000">
        <w:rPr>
          <w:rtl w:val="0"/>
        </w:rPr>
      </w:r>
    </w:p>
    <w:p w:rsidR="00000000" w:rsidDel="00000000" w:rsidP="00000000" w:rsidRDefault="00000000" w:rsidRPr="00000000" w14:paraId="0000004D">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4E">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u w:val="single"/>
        </w:rPr>
      </w:pPr>
      <w:r w:rsidDel="00000000" w:rsidR="00000000" w:rsidRPr="00000000">
        <w:rPr>
          <w:rFonts w:ascii="Avenir" w:cs="Avenir" w:eastAsia="Avenir" w:hAnsi="Avenir"/>
          <w:b w:val="1"/>
          <w:bCs w:val="1"/>
          <w:color w:val="3c3f42"/>
          <w:sz w:val="15"/>
          <w:szCs w:val="15"/>
          <w:u w:val="single"/>
          <w:rtl w:val="0"/>
        </w:rPr>
        <w:t xml:space="preserve">A2: AI builders face a data bottleneck</w:t>
      </w:r>
    </w:p>
    <w:p w:rsidR="00000000" w:rsidDel="00000000" w:rsidP="00000000" w:rsidRDefault="00000000" w:rsidRPr="00000000" w14:paraId="0000004F">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50">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Companies developing manufacturing AI for predictive maintenance, quality control, or process optimization need large volumes of labeled data to train reliable models [7]. Public industrial datasets are scarce, and proprietary data is narrow. Model performance is limited by data availability, not by algorithms [7].</w:t>
      </w:r>
    </w:p>
    <w:p w:rsidR="00000000" w:rsidDel="00000000" w:rsidP="00000000" w:rsidRDefault="00000000" w:rsidRPr="00000000" w14:paraId="0000005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20"/>
          <w:szCs w:val="20"/>
          <w:shd w:fill="d1d2d3" w:val="clear"/>
        </w:rPr>
      </w:pPr>
      <w:r w:rsidDel="00000000" w:rsidR="00000000" w:rsidRPr="00000000">
        <w:rPr>
          <w:rtl w:val="0"/>
        </w:rPr>
      </w:r>
    </w:p>
    <w:p w:rsidR="00000000" w:rsidDel="00000000" w:rsidP="00000000" w:rsidRDefault="00000000" w:rsidRPr="00000000" w14:paraId="0000005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5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u w:val="single"/>
        </w:rPr>
      </w:pPr>
      <w:r w:rsidDel="00000000" w:rsidR="00000000" w:rsidRPr="00000000">
        <w:rPr>
          <w:rFonts w:ascii="Avenir" w:cs="Avenir" w:eastAsia="Avenir" w:hAnsi="Avenir"/>
          <w:b w:val="1"/>
          <w:bCs w:val="1"/>
          <w:color w:val="3c3f42"/>
          <w:sz w:val="15"/>
          <w:szCs w:val="15"/>
          <w:u w:val="single"/>
          <w:rtl w:val="0"/>
        </w:rPr>
        <w:t xml:space="preserve">A3: Massive untapped open-source data</w:t>
      </w:r>
      <w:r w:rsidDel="00000000" w:rsidR="00000000" w:rsidRPr="00000000">
        <w:rPr>
          <w:rtl w:val="0"/>
        </w:rPr>
      </w:r>
    </w:p>
    <w:p w:rsidR="00000000" w:rsidDel="00000000" w:rsidP="00000000" w:rsidRDefault="00000000" w:rsidRPr="00000000" w14:paraId="0000005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5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Large volumes of industrial and engineering data are publicly available in repositories, but remain difficult to use for current foundation model training pipelines due to the lack of structured labeling, standardization, and consistent metadata, which limits their accessibility and integration into scalable machine learning workflows [9].</w:t>
      </w:r>
    </w:p>
    <w:p w:rsidR="00000000" w:rsidDel="00000000" w:rsidP="00000000" w:rsidRDefault="00000000" w:rsidRPr="00000000" w14:paraId="00000056">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9"/>
          <w:szCs w:val="19"/>
          <w:shd w:fill="d1d2d3" w:val="clear"/>
        </w:rPr>
      </w:pPr>
      <w:r w:rsidDel="00000000" w:rsidR="00000000" w:rsidRPr="00000000">
        <w:rPr>
          <w:rtl w:val="0"/>
        </w:rPr>
      </w:r>
    </w:p>
    <w:p w:rsidR="00000000" w:rsidDel="00000000" w:rsidP="00000000" w:rsidRDefault="00000000" w:rsidRPr="00000000" w14:paraId="00000057">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58">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u w:val="single"/>
        </w:rPr>
      </w:pPr>
      <w:r w:rsidDel="00000000" w:rsidR="00000000" w:rsidRPr="00000000">
        <w:rPr>
          <w:rFonts w:ascii="Avenir" w:cs="Avenir" w:eastAsia="Avenir" w:hAnsi="Avenir"/>
          <w:b w:val="1"/>
          <w:bCs w:val="1"/>
          <w:color w:val="3c3f42"/>
          <w:sz w:val="15"/>
          <w:szCs w:val="15"/>
          <w:u w:val="single"/>
          <w:rtl w:val="0"/>
        </w:rPr>
        <w:t xml:space="preserve">A4: Annotation needs domain expertise</w:t>
      </w:r>
    </w:p>
    <w:p w:rsidR="00000000" w:rsidDel="00000000" w:rsidP="00000000" w:rsidRDefault="00000000" w:rsidRPr="00000000" w14:paraId="00000059">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5A">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Labeling complex industrial geometries and sensor data requires foundational engineering knowledge that general crowdsourcing lacks [10]. An underutilized workforce of advanced engineering students and retired professionals provides the cost-to-expertise ratio needed to accurately categorize this data.</w:t>
      </w:r>
    </w:p>
    <w:p w:rsidR="00000000" w:rsidDel="00000000" w:rsidP="00000000" w:rsidRDefault="00000000" w:rsidRPr="00000000" w14:paraId="0000005B">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5C">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shd w:fill="fff2cc" w:val="clear"/>
        </w:rPr>
      </w:pPr>
      <w:r w:rsidDel="00000000" w:rsidR="00000000" w:rsidRPr="00000000">
        <w:rPr>
          <w:rtl w:val="0"/>
        </w:rPr>
      </w:r>
    </w:p>
    <w:p w:rsidR="00000000" w:rsidDel="00000000" w:rsidP="00000000" w:rsidRDefault="00000000" w:rsidRPr="00000000" w14:paraId="0000005D">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u w:val="single"/>
        </w:rPr>
      </w:pPr>
      <w:r w:rsidDel="00000000" w:rsidR="00000000" w:rsidRPr="00000000">
        <w:rPr>
          <w:rFonts w:ascii="Avenir" w:cs="Avenir" w:eastAsia="Avenir" w:hAnsi="Avenir"/>
          <w:b w:val="1"/>
          <w:bCs w:val="1"/>
          <w:color w:val="3c3f42"/>
          <w:sz w:val="15"/>
          <w:szCs w:val="15"/>
          <w:u w:val="single"/>
          <w:rtl w:val="0"/>
        </w:rPr>
        <w:t xml:space="preserve">A5: High demand for expert-labeled data</w:t>
      </w:r>
    </w:p>
    <w:p w:rsidR="00000000" w:rsidDel="00000000" w:rsidP="00000000" w:rsidRDefault="00000000" w:rsidRPr="00000000" w14:paraId="0000005E">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5F">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If high-quality labeled industrial data is fundamentally scarce and AI builders are bottlenecked by this scarcity, then a service that produces ready-to-use, expert-labeled industrial datasets addresses a clear and growing market gap where industrial customers have both the budget and the urgency to invest.</w:t>
      </w:r>
    </w:p>
    <w:p w:rsidR="00000000" w:rsidDel="00000000" w:rsidP="00000000" w:rsidRDefault="00000000" w:rsidRPr="00000000" w14:paraId="00000060">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shd w:fill="d1d2d3" w:val="clear"/>
        </w:rPr>
      </w:pPr>
      <w:r w:rsidDel="00000000" w:rsidR="00000000" w:rsidRPr="00000000">
        <w:rPr>
          <w:rtl w:val="0"/>
        </w:rPr>
      </w:r>
    </w:p>
    <w:p w:rsidR="00000000" w:rsidDel="00000000" w:rsidP="00000000" w:rsidRDefault="00000000" w:rsidRPr="00000000" w14:paraId="00000061">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shd w:fill="fff2cc" w:val="clear"/>
        </w:rPr>
      </w:pPr>
      <w:r w:rsidDel="00000000" w:rsidR="00000000" w:rsidRPr="00000000">
        <w:rPr>
          <w:rtl w:val="0"/>
        </w:rPr>
      </w:r>
    </w:p>
    <w:p w:rsidR="00000000" w:rsidDel="00000000" w:rsidP="00000000" w:rsidRDefault="00000000" w:rsidRPr="00000000" w14:paraId="00000062">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u w:val="single"/>
        </w:rPr>
      </w:pPr>
      <w:r w:rsidDel="00000000" w:rsidR="00000000" w:rsidRPr="00000000">
        <w:rPr>
          <w:rFonts w:ascii="Avenir" w:cs="Avenir" w:eastAsia="Avenir" w:hAnsi="Avenir"/>
          <w:b w:val="1"/>
          <w:bCs w:val="1"/>
          <w:color w:val="3c3f42"/>
          <w:sz w:val="15"/>
          <w:szCs w:val="15"/>
          <w:u w:val="single"/>
          <w:rtl w:val="0"/>
        </w:rPr>
        <w:t xml:space="preserve">A6: Gig networks add critical data diversity</w:t>
      </w:r>
    </w:p>
    <w:p w:rsidR="00000000" w:rsidDel="00000000" w:rsidP="00000000" w:rsidRDefault="00000000" w:rsidRPr="00000000" w14:paraId="00000063">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64">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If massive raw data is available in open repositories and a specialized semi-expert workforce can label it cost-effectively, this combination can systematically generate the broad pre-training datasets necessary for IFMs, where structural diversity matters more than proprietary curation.</w:t>
      </w:r>
    </w:p>
    <w:p w:rsidR="00000000" w:rsidDel="00000000" w:rsidP="00000000" w:rsidRDefault="00000000" w:rsidRPr="00000000" w14:paraId="00000065">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shd w:fill="d1d2d3" w:val="clear"/>
        </w:rPr>
      </w:pPr>
      <w:r w:rsidDel="00000000" w:rsidR="00000000" w:rsidRPr="00000000">
        <w:rPr>
          <w:rtl w:val="0"/>
        </w:rPr>
      </w:r>
    </w:p>
    <w:p w:rsidR="00000000" w:rsidDel="00000000" w:rsidP="00000000" w:rsidRDefault="00000000" w:rsidRPr="00000000" w14:paraId="00000066">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shd w:fill="d1d2d3" w:val="clear"/>
        </w:rPr>
      </w:pPr>
      <w:r w:rsidDel="00000000" w:rsidR="00000000" w:rsidRPr="00000000">
        <w:rPr>
          <w:rtl w:val="0"/>
        </w:rPr>
      </w:r>
    </w:p>
    <w:p w:rsidR="00000000" w:rsidDel="00000000" w:rsidP="00000000" w:rsidRDefault="00000000" w:rsidRPr="00000000" w14:paraId="00000067">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u w:val="single"/>
        </w:rPr>
      </w:pPr>
      <w:r w:rsidDel="00000000" w:rsidR="00000000" w:rsidRPr="00000000">
        <w:rPr>
          <w:rFonts w:ascii="Avenir" w:cs="Avenir" w:eastAsia="Avenir" w:hAnsi="Avenir"/>
          <w:b w:val="1"/>
          <w:bCs w:val="1"/>
          <w:color w:val="3c3f42"/>
          <w:sz w:val="15"/>
          <w:szCs w:val="15"/>
          <w:u w:val="single"/>
          <w:rtl w:val="0"/>
        </w:rPr>
        <w:t xml:space="preserve">Final</w:t>
      </w:r>
      <w:r w:rsidDel="00000000" w:rsidR="00000000" w:rsidRPr="00000000">
        <w:rPr>
          <w:rFonts w:ascii="Avenir" w:cs="Avenir" w:eastAsia="Avenir" w:hAnsi="Avenir"/>
          <w:b w:val="1"/>
          <w:bCs w:val="1"/>
          <w:color w:val="3c3f42"/>
          <w:sz w:val="15"/>
          <w:szCs w:val="15"/>
          <w:u w:val="single"/>
          <w:rtl w:val="0"/>
        </w:rPr>
        <w:t xml:space="preserve">: Domain labeling captures the AI market</w:t>
      </w:r>
    </w:p>
    <w:p w:rsidR="00000000" w:rsidDel="00000000" w:rsidP="00000000" w:rsidRDefault="00000000" w:rsidRPr="00000000" w14:paraId="00000068">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3c3f42"/>
          <w:sz w:val="15"/>
          <w:szCs w:val="15"/>
        </w:rPr>
      </w:pPr>
      <w:r w:rsidDel="00000000" w:rsidR="00000000" w:rsidRPr="00000000">
        <w:rPr>
          <w:rtl w:val="0"/>
        </w:rPr>
      </w:r>
    </w:p>
    <w:p w:rsidR="00000000" w:rsidDel="00000000" w:rsidP="00000000" w:rsidRDefault="00000000" w:rsidRPr="00000000" w14:paraId="00000069">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color w:val="024ea2"/>
          <w:sz w:val="15"/>
          <w:szCs w:val="15"/>
        </w:rPr>
      </w:pPr>
      <w:r w:rsidDel="00000000" w:rsidR="00000000" w:rsidRPr="00000000">
        <w:rPr>
          <w:rFonts w:ascii="Avenir" w:cs="Avenir" w:eastAsia="Avenir" w:hAnsi="Avenir"/>
          <w:color w:val="3c3f42"/>
          <w:sz w:val="15"/>
          <w:szCs w:val="15"/>
          <w:rtl w:val="0"/>
        </w:rPr>
        <w:t xml:space="preserve">If strong unmet demand exists for labeled industrial data and diverse datasets can be aggregated and labeled using a specialized gig network, then building the quality assurance and annotation tooling that converts fragmented open data into commercially licensed training batches is the logical next step to scaling industrial AI.</w:t>
      </w:r>
      <w:r w:rsidDel="00000000" w:rsidR="00000000" w:rsidRPr="00000000">
        <w:rPr>
          <w:rtl w:val="0"/>
        </w:rPr>
      </w:r>
    </w:p>
    <w:p w:rsidR="00000000" w:rsidDel="00000000" w:rsidP="00000000" w:rsidRDefault="00000000" w:rsidRPr="00000000" w14:paraId="0000006A">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b w:val="1"/>
          <w:bCs w:val="1"/>
          <w:color w:val="3c3f42"/>
          <w:sz w:val="31"/>
          <w:szCs w:val="31"/>
          <w:shd w:fill="d9ff00" w:val="clear"/>
        </w:rPr>
      </w:pPr>
      <w:r w:rsidDel="00000000" w:rsidR="00000000" w:rsidRPr="00000000">
        <w:rPr>
          <w:rtl w:val="0"/>
        </w:rPr>
      </w:r>
    </w:p>
    <w:p w:rsidR="00000000" w:rsidDel="00000000" w:rsidP="00000000" w:rsidRDefault="00000000" w:rsidRPr="00000000" w14:paraId="0000006B">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tl w:val="0"/>
        </w:rPr>
      </w:r>
    </w:p>
    <w:p w:rsidR="00000000" w:rsidDel="00000000" w:rsidP="00000000" w:rsidRDefault="00000000" w:rsidRPr="00000000" w14:paraId="0000006C">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b w:val="1"/>
          <w:bCs w:val="1"/>
          <w:color w:val="5b9bd5"/>
          <w:sz w:val="24"/>
          <w:szCs w:val="24"/>
        </w:rPr>
      </w:pPr>
      <w:r w:rsidDel="00000000" w:rsidR="00000000" w:rsidRPr="00000000">
        <w:rPr>
          <w:rtl w:val="0"/>
        </w:rPr>
      </w:r>
    </w:p>
    <w:p w:rsidR="00000000" w:rsidDel="00000000" w:rsidP="00000000" w:rsidRDefault="00000000" w:rsidRPr="00000000" w14:paraId="0000006D">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tl w:val="0"/>
        </w:rPr>
      </w:r>
    </w:p>
    <w:p w:rsidR="00000000" w:rsidDel="00000000" w:rsidP="00000000" w:rsidRDefault="00000000" w:rsidRPr="00000000" w14:paraId="0000006E">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rPr>
          <w:rtl w:val="0"/>
        </w:rPr>
      </w:r>
    </w:p>
    <w:p w:rsidR="00000000" w:rsidDel="00000000" w:rsidP="00000000" w:rsidRDefault="00000000" w:rsidRPr="00000000" w14:paraId="0000006F">
      <w:pPr>
        <w:pBdr>
          <w:top w:color="000000" w:space="0" w:sz="0" w:val="none"/>
          <w:left w:color="000000" w:space="0" w:sz="0" w:val="none"/>
          <w:bottom w:color="000000" w:space="0" w:sz="0" w:val="none"/>
          <w:right w:color="000000" w:space="0" w:sz="0" w:val="none"/>
          <w:between w:color="000000" w:space="0" w:sz="0" w:val="none"/>
        </w:pBdr>
        <w:spacing w:line="240" w:lineRule="auto"/>
        <w:jc w:val="both"/>
        <w:rPr>
          <w:rFonts w:ascii="Avenir" w:cs="Avenir" w:eastAsia="Avenir" w:hAnsi="Avenir"/>
          <w:b w:val="1"/>
          <w:bCs w:val="1"/>
          <w:color w:val="5b9bd5"/>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70">
      <w:pPr>
        <w:pBdr>
          <w:top w:color="000000" w:space="0" w:sz="0" w:val="none"/>
          <w:left w:color="000000" w:space="0" w:sz="0" w:val="none"/>
          <w:bottom w:color="000000" w:space="0" w:sz="0" w:val="none"/>
          <w:right w:color="000000" w:space="0" w:sz="0" w:val="none"/>
          <w:between w:color="000000" w:space="0" w:sz="0" w:val="none"/>
        </w:pBdr>
        <w:spacing w:after="120" w:before="300" w:line="240" w:lineRule="auto"/>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References:</w:t>
      </w:r>
      <w:r w:rsidDel="00000000" w:rsidR="00000000" w:rsidRPr="00000000">
        <w:rPr>
          <w:rtl w:val="0"/>
        </w:rPr>
      </w:r>
    </w:p>
    <w:p w:rsidR="00000000" w:rsidDel="00000000" w:rsidP="00000000" w:rsidRDefault="00000000" w:rsidRPr="00000000" w14:paraId="00000071">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Fonts w:ascii="Avenir" w:cs="Avenir" w:eastAsia="Avenir" w:hAnsi="Avenir"/>
          <w:color w:val="0e101a"/>
          <w:sz w:val="15"/>
          <w:szCs w:val="15"/>
          <w:rtl w:val="0"/>
        </w:rPr>
        <w:t xml:space="preserve">[1] Zhang H, Semujju SD, Wang Z, et al. Large scale foundation models for intelligent manufacturing applications: a survey. J Intell Manuf. 2026;37:119-170. doi:10.1007/s10845-024-02536-7</w:t>
      </w:r>
    </w:p>
    <w:p w:rsidR="00000000" w:rsidDel="00000000" w:rsidP="00000000" w:rsidRDefault="00000000" w:rsidRPr="00000000" w14:paraId="00000072">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Fonts w:ascii="Avenir" w:cs="Avenir" w:eastAsia="Avenir" w:hAnsi="Avenir"/>
          <w:color w:val="0e101a"/>
          <w:sz w:val="15"/>
          <w:szCs w:val="15"/>
          <w:rtl w:val="0"/>
        </w:rPr>
        <w:t xml:space="preserve">[2] Ren L, Wang H, Dong J, et al. Industrial foundation model. IEEE Trans Cybern. 2025;55(5):2286-2301. doi:10.1109/tcyb.2025.3527632</w:t>
      </w:r>
    </w:p>
    <w:p w:rsidR="00000000" w:rsidDel="00000000" w:rsidP="00000000" w:rsidRDefault="00000000" w:rsidRPr="00000000" w14:paraId="00000073">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1155cc"/>
          <w:sz w:val="15"/>
          <w:szCs w:val="15"/>
          <w:u w:val="single"/>
        </w:rPr>
      </w:pPr>
      <w:r w:rsidDel="00000000" w:rsidR="00000000" w:rsidRPr="00000000">
        <w:rPr>
          <w:rFonts w:ascii="Avenir" w:cs="Avenir" w:eastAsia="Avenir" w:hAnsi="Avenir"/>
          <w:color w:val="0e101a"/>
          <w:sz w:val="15"/>
          <w:szCs w:val="15"/>
          <w:rtl w:val="0"/>
        </w:rPr>
        <w:t xml:space="preserve">[3] Cognilytica. AI Data Engineering Lifecycle Checklist. Cognilytica Research; 2020. Accessed March 26, 2026. </w:t>
      </w:r>
      <w:r w:rsidDel="00000000" w:rsidR="00000000" w:rsidRPr="00000000">
        <w:rPr>
          <w:rFonts w:ascii="Avenir" w:cs="Avenir" w:eastAsia="Avenir" w:hAnsi="Avenir"/>
          <w:color w:val="0e101a"/>
          <w:sz w:val="15"/>
          <w:szCs w:val="15"/>
          <w:rtl w:val="0"/>
        </w:rPr>
        <w:t xml:space="preserve">https://www.cloudera.com/content/dam/www/marketing/resources/whitepapers/ai-data-lifecycle-checklist-cloudera-whitepaper.pdf</w:t>
      </w:r>
      <w:r w:rsidDel="00000000" w:rsidR="00000000" w:rsidRPr="00000000">
        <w:rPr>
          <w:rtl w:val="0"/>
        </w:rPr>
      </w:r>
    </w:p>
    <w:p w:rsidR="00000000" w:rsidDel="00000000" w:rsidP="00000000" w:rsidRDefault="00000000" w:rsidRPr="00000000" w14:paraId="00000074">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1155cc"/>
          <w:sz w:val="15"/>
          <w:szCs w:val="15"/>
          <w:u w:val="single"/>
        </w:rPr>
      </w:pPr>
      <w:r w:rsidDel="00000000" w:rsidR="00000000" w:rsidRPr="00000000">
        <w:rPr>
          <w:rFonts w:ascii="Avenir" w:cs="Avenir" w:eastAsia="Avenir" w:hAnsi="Avenir"/>
          <w:color w:val="0e101a"/>
          <w:sz w:val="15"/>
          <w:szCs w:val="15"/>
          <w:rtl w:val="0"/>
        </w:rPr>
        <w:t xml:space="preserve">[4] Zhang C, Cao Y, Gu J, et al. Harnessing diversity for important data selection in pretraining large language models. arXiv. 2024;2409.16986. Accessed March 26, 2026. </w:t>
      </w:r>
      <w:r w:rsidDel="00000000" w:rsidR="00000000" w:rsidRPr="00000000">
        <w:rPr>
          <w:rFonts w:ascii="Avenir" w:cs="Avenir" w:eastAsia="Avenir" w:hAnsi="Avenir"/>
          <w:color w:val="0e101a"/>
          <w:sz w:val="15"/>
          <w:szCs w:val="15"/>
          <w:rtl w:val="0"/>
        </w:rPr>
        <w:t xml:space="preserve">https://arxiv.org/abs/2409.16986</w:t>
      </w:r>
      <w:r w:rsidDel="00000000" w:rsidR="00000000" w:rsidRPr="00000000">
        <w:rPr>
          <w:rtl w:val="0"/>
        </w:rPr>
      </w:r>
    </w:p>
    <w:p w:rsidR="00000000" w:rsidDel="00000000" w:rsidP="00000000" w:rsidRDefault="00000000" w:rsidRPr="00000000" w14:paraId="00000075">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1155cc"/>
          <w:sz w:val="15"/>
          <w:szCs w:val="15"/>
          <w:u w:val="single"/>
        </w:rPr>
      </w:pPr>
      <w:r w:rsidDel="00000000" w:rsidR="00000000" w:rsidRPr="00000000">
        <w:rPr>
          <w:rFonts w:ascii="Avenir" w:cs="Avenir" w:eastAsia="Avenir" w:hAnsi="Avenir"/>
          <w:color w:val="0e101a"/>
          <w:sz w:val="15"/>
          <w:szCs w:val="15"/>
          <w:rtl w:val="0"/>
        </w:rPr>
        <w:t xml:space="preserve">[5] Nvidia Research. Front-loading reasoning: the synergy between pretraining and post-training data. Technical report. 2025. Accessed March 26, 2026. </w:t>
      </w:r>
      <w:r w:rsidDel="00000000" w:rsidR="00000000" w:rsidRPr="00000000">
        <w:rPr>
          <w:rFonts w:ascii="Avenir" w:cs="Avenir" w:eastAsia="Avenir" w:hAnsi="Avenir"/>
          <w:color w:val="0e101a"/>
          <w:sz w:val="15"/>
          <w:szCs w:val="15"/>
          <w:rtl w:val="0"/>
        </w:rPr>
        <w:t xml:space="preserve">https://research.nvidia.com/labs/adlr/files/Front_Loading_Reasoning_The_Synergy_between_Pretraining_and_Post_Training_Data.pdf</w:t>
      </w:r>
      <w:r w:rsidDel="00000000" w:rsidR="00000000" w:rsidRPr="00000000">
        <w:rPr>
          <w:rtl w:val="0"/>
        </w:rPr>
      </w:r>
    </w:p>
    <w:p w:rsidR="00000000" w:rsidDel="00000000" w:rsidP="00000000" w:rsidRDefault="00000000" w:rsidRPr="00000000" w14:paraId="00000076">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1155cc"/>
          <w:sz w:val="15"/>
          <w:szCs w:val="15"/>
          <w:u w:val="single"/>
        </w:rPr>
      </w:pPr>
      <w:r w:rsidDel="00000000" w:rsidR="00000000" w:rsidRPr="00000000">
        <w:rPr>
          <w:rFonts w:ascii="Avenir" w:cs="Avenir" w:eastAsia="Avenir" w:hAnsi="Avenir"/>
          <w:color w:val="0e101a"/>
          <w:sz w:val="15"/>
          <w:szCs w:val="15"/>
          <w:rtl w:val="0"/>
        </w:rPr>
        <w:t xml:space="preserve">[6] Ouyang L, Wu J, Jiang X, et al. Training language models to follow instructions with human feedback. </w:t>
      </w:r>
      <w:r w:rsidDel="00000000" w:rsidR="00000000" w:rsidRPr="00000000">
        <w:rPr>
          <w:rFonts w:ascii="Avenir" w:cs="Avenir" w:eastAsia="Avenir" w:hAnsi="Avenir"/>
          <w:i w:val="1"/>
          <w:iCs w:val="1"/>
          <w:color w:val="0e101a"/>
          <w:sz w:val="15"/>
          <w:szCs w:val="15"/>
          <w:rtl w:val="0"/>
        </w:rPr>
        <w:t xml:space="preserve">Adv Neural Inf Process Syst</w:t>
      </w:r>
      <w:r w:rsidDel="00000000" w:rsidR="00000000" w:rsidRPr="00000000">
        <w:rPr>
          <w:rFonts w:ascii="Avenir" w:cs="Avenir" w:eastAsia="Avenir" w:hAnsi="Avenir"/>
          <w:color w:val="0e101a"/>
          <w:sz w:val="15"/>
          <w:szCs w:val="15"/>
          <w:rtl w:val="0"/>
        </w:rPr>
        <w:t xml:space="preserve">. 2022;35:27730-27744.</w:t>
      </w:r>
      <w:r w:rsidDel="00000000" w:rsidR="00000000" w:rsidRPr="00000000">
        <w:rPr>
          <w:rtl w:val="0"/>
        </w:rPr>
      </w:r>
    </w:p>
    <w:p w:rsidR="00000000" w:rsidDel="00000000" w:rsidP="00000000" w:rsidRDefault="00000000" w:rsidRPr="00000000" w14:paraId="00000077">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Fonts w:ascii="Avenir" w:cs="Avenir" w:eastAsia="Avenir" w:hAnsi="Avenir"/>
          <w:color w:val="0e101a"/>
          <w:sz w:val="15"/>
          <w:szCs w:val="15"/>
          <w:rtl w:val="0"/>
        </w:rPr>
        <w:t xml:space="preserve">[7] Li W, Li T. Comparison of deep learning models for predictive maintenance in industrial manufacturing systems using sensor data. Sci Rep. 2025;15(1):23545. doi:10.1038/s41598-025-08515-z</w:t>
      </w:r>
    </w:p>
    <w:p w:rsidR="00000000" w:rsidDel="00000000" w:rsidP="00000000" w:rsidRDefault="00000000" w:rsidRPr="00000000" w14:paraId="00000078">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Fonts w:ascii="Avenir" w:cs="Avenir" w:eastAsia="Avenir" w:hAnsi="Avenir"/>
          <w:color w:val="0e101a"/>
          <w:sz w:val="15"/>
          <w:szCs w:val="15"/>
          <w:rtl w:val="0"/>
        </w:rPr>
        <w:t xml:space="preserve">[8] Amaliah N, Tjahjono B, Palade V. Human-in-the-loop XAI for predictive maintenance: a systematic review. Electronics. 2025;14(17):3384. doi:10.3390/electronics14173384</w:t>
      </w:r>
    </w:p>
    <w:p w:rsidR="00000000" w:rsidDel="00000000" w:rsidP="00000000" w:rsidRDefault="00000000" w:rsidRPr="00000000" w14:paraId="00000079">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Fonts w:ascii="Avenir" w:cs="Avenir" w:eastAsia="Avenir" w:hAnsi="Avenir"/>
          <w:color w:val="0e101a"/>
          <w:sz w:val="15"/>
          <w:szCs w:val="15"/>
          <w:rtl w:val="0"/>
        </w:rPr>
        <w:t xml:space="preserve">[9] Roh Y, Heo G, Whang SE. A survey on data collection for machine learning: a big data–AI integration perspective. </w:t>
      </w:r>
      <w:r w:rsidDel="00000000" w:rsidR="00000000" w:rsidRPr="00000000">
        <w:rPr>
          <w:rFonts w:ascii="Avenir" w:cs="Avenir" w:eastAsia="Avenir" w:hAnsi="Avenir"/>
          <w:i w:val="1"/>
          <w:iCs w:val="1"/>
          <w:color w:val="0e101a"/>
          <w:sz w:val="15"/>
          <w:szCs w:val="15"/>
          <w:rtl w:val="0"/>
        </w:rPr>
        <w:t xml:space="preserve">IEEE Trans Knowl Data Eng</w:t>
      </w:r>
      <w:r w:rsidDel="00000000" w:rsidR="00000000" w:rsidRPr="00000000">
        <w:rPr>
          <w:rFonts w:ascii="Avenir" w:cs="Avenir" w:eastAsia="Avenir" w:hAnsi="Avenir"/>
          <w:color w:val="0e101a"/>
          <w:sz w:val="15"/>
          <w:szCs w:val="15"/>
          <w:rtl w:val="0"/>
        </w:rPr>
        <w:t xml:space="preserve">. 2021;33(4):1328-1347. doi:10.1109/TKDE.2019.2946162</w:t>
      </w:r>
    </w:p>
    <w:p w:rsidR="00000000" w:rsidDel="00000000" w:rsidP="00000000" w:rsidRDefault="00000000" w:rsidRPr="00000000" w14:paraId="0000007A">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Fonts w:ascii="Avenir" w:cs="Avenir" w:eastAsia="Avenir" w:hAnsi="Avenir"/>
          <w:color w:val="0e101a"/>
          <w:sz w:val="15"/>
          <w:szCs w:val="15"/>
          <w:rtl w:val="0"/>
        </w:rPr>
        <w:t xml:space="preserve">[10] Han K, Rezapour R, Nakamura K, et al. An expert-in-the-loop method for domain-specific document categorization based on small training data. J Assoc Inf Sci Technol. 2023;74(6):669-684. doi:10.1002/asi.24714</w:t>
      </w:r>
    </w:p>
    <w:p w:rsidR="00000000" w:rsidDel="00000000" w:rsidP="00000000" w:rsidRDefault="00000000" w:rsidRPr="00000000" w14:paraId="0000007B">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1155cc"/>
          <w:sz w:val="15"/>
          <w:szCs w:val="15"/>
          <w:u w:val="single"/>
        </w:rPr>
      </w:pPr>
      <w:r w:rsidDel="00000000" w:rsidR="00000000" w:rsidRPr="00000000">
        <w:rPr>
          <w:rFonts w:ascii="Avenir" w:cs="Avenir" w:eastAsia="Avenir" w:hAnsi="Avenir"/>
          <w:color w:val="0e101a"/>
          <w:sz w:val="15"/>
          <w:szCs w:val="15"/>
          <w:rtl w:val="0"/>
        </w:rPr>
        <w:t xml:space="preserve">[11] Edjlali R. Lack of AI-ready data puts AI projects at risk. Gartner Newsroom. Published February 26, 2025. Accessed March 26, 2026. </w:t>
      </w:r>
      <w:r w:rsidDel="00000000" w:rsidR="00000000" w:rsidRPr="00000000">
        <w:rPr>
          <w:rFonts w:ascii="Avenir" w:cs="Avenir" w:eastAsia="Avenir" w:hAnsi="Avenir"/>
          <w:color w:val="0e101a"/>
          <w:sz w:val="15"/>
          <w:szCs w:val="15"/>
          <w:rtl w:val="0"/>
        </w:rPr>
        <w:t xml:space="preserve">https://www.gartner.com/en/newsroom/press-releases/2025-02-26-lack-of-ai-ready-data-puts-ai-projects-at-risk</w:t>
      </w:r>
      <w:r w:rsidDel="00000000" w:rsidR="00000000" w:rsidRPr="00000000">
        <w:rPr>
          <w:rtl w:val="0"/>
        </w:rPr>
      </w:r>
    </w:p>
    <w:p w:rsidR="00000000" w:rsidDel="00000000" w:rsidP="00000000" w:rsidRDefault="00000000" w:rsidRPr="00000000" w14:paraId="0000007C">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Fonts w:ascii="Avenir" w:cs="Avenir" w:eastAsia="Avenir" w:hAnsi="Avenir"/>
          <w:color w:val="0e101a"/>
          <w:sz w:val="15"/>
          <w:szCs w:val="15"/>
          <w:rtl w:val="0"/>
        </w:rPr>
        <w:t xml:space="preserve">[12] Fia T. Resisting IP overexpansion: the case of trade secret protection of non-personal data. IIC International Review of Intellectual Property and Competition Law. 2022;53(6):917-949. doi:10.1007/s40319-022-01204-8</w:t>
      </w:r>
    </w:p>
    <w:p w:rsidR="00000000" w:rsidDel="00000000" w:rsidP="00000000" w:rsidRDefault="00000000" w:rsidRPr="00000000" w14:paraId="0000007D">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1155cc"/>
          <w:sz w:val="15"/>
          <w:szCs w:val="15"/>
          <w:u w:val="single"/>
        </w:rPr>
      </w:pPr>
      <w:r w:rsidDel="00000000" w:rsidR="00000000" w:rsidRPr="00000000">
        <w:rPr>
          <w:rFonts w:ascii="Avenir" w:cs="Avenir" w:eastAsia="Avenir" w:hAnsi="Avenir"/>
          <w:color w:val="0e101a"/>
          <w:sz w:val="15"/>
          <w:szCs w:val="15"/>
          <w:rtl w:val="0"/>
        </w:rPr>
        <w:t xml:space="preserve">[13] Grand View Research. Data Collection and Labeling Market Size, Share and Trends Analysis Report. Grand View Research; 2024. Accessed March 31, 2026. </w:t>
      </w:r>
      <w:r w:rsidDel="00000000" w:rsidR="00000000" w:rsidRPr="00000000">
        <w:rPr>
          <w:rFonts w:ascii="Avenir" w:cs="Avenir" w:eastAsia="Avenir" w:hAnsi="Avenir"/>
          <w:color w:val="0e101a"/>
          <w:sz w:val="15"/>
          <w:szCs w:val="15"/>
          <w:rtl w:val="0"/>
        </w:rPr>
        <w:t xml:space="preserve">https://www.grandviewresearch.com/industry-analysis/data-collection-labeling-market</w:t>
      </w:r>
      <w:r w:rsidDel="00000000" w:rsidR="00000000" w:rsidRPr="00000000">
        <w:rPr>
          <w:rtl w:val="0"/>
        </w:rPr>
      </w:r>
    </w:p>
    <w:p w:rsidR="00000000" w:rsidDel="00000000" w:rsidP="00000000" w:rsidRDefault="00000000" w:rsidRPr="00000000" w14:paraId="0000007E">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1155cc"/>
          <w:sz w:val="15"/>
          <w:szCs w:val="15"/>
          <w:u w:val="single"/>
        </w:rPr>
      </w:pPr>
      <w:r w:rsidDel="00000000" w:rsidR="00000000" w:rsidRPr="00000000">
        <w:rPr>
          <w:rFonts w:ascii="Avenir" w:cs="Avenir" w:eastAsia="Avenir" w:hAnsi="Avenir"/>
          <w:color w:val="0e101a"/>
          <w:sz w:val="15"/>
          <w:szCs w:val="15"/>
          <w:rtl w:val="0"/>
        </w:rPr>
        <w:t xml:space="preserve">[14] European Parliament, Council of the European Union. Regulation (EU) 2024/1689 laying down harmonised rules on artificial intelligence (Artificial Intelligence Act). Off J Eur Union. 2024;L 2024/1689. Accessed March 31, 2026. </w:t>
      </w:r>
      <w:r w:rsidDel="00000000" w:rsidR="00000000" w:rsidRPr="00000000">
        <w:rPr>
          <w:rFonts w:ascii="Avenir" w:cs="Avenir" w:eastAsia="Avenir" w:hAnsi="Avenir"/>
          <w:color w:val="0e101a"/>
          <w:sz w:val="15"/>
          <w:szCs w:val="15"/>
          <w:rtl w:val="0"/>
        </w:rPr>
        <w:t xml:space="preserve">https://eur-lex.europa.eu/eli/reg/2024/1689/oj</w:t>
      </w:r>
      <w:r w:rsidDel="00000000" w:rsidR="00000000" w:rsidRPr="00000000">
        <w:rPr>
          <w:rtl w:val="0"/>
        </w:rPr>
      </w:r>
    </w:p>
    <w:p w:rsidR="00000000" w:rsidDel="00000000" w:rsidP="00000000" w:rsidRDefault="00000000" w:rsidRPr="00000000" w14:paraId="0000007F">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1155cc"/>
          <w:sz w:val="15"/>
          <w:szCs w:val="15"/>
          <w:u w:val="single"/>
        </w:rPr>
      </w:pPr>
      <w:r w:rsidDel="00000000" w:rsidR="00000000" w:rsidRPr="00000000">
        <w:rPr>
          <w:rFonts w:ascii="Avenir" w:cs="Avenir" w:eastAsia="Avenir" w:hAnsi="Avenir"/>
          <w:color w:val="0e101a"/>
          <w:sz w:val="15"/>
          <w:szCs w:val="15"/>
          <w:rtl w:val="0"/>
        </w:rPr>
        <w:t xml:space="preserve">[15] European Parliament, Council of the European Union. Regulation (EU) 2023/2854 on harmonised rules on fair access to and use of data (Data Act). Off J Eur Union. 2023;L 2023/2854. Accessed March 31, 2026. </w:t>
      </w:r>
      <w:r w:rsidDel="00000000" w:rsidR="00000000" w:rsidRPr="00000000">
        <w:rPr>
          <w:rFonts w:ascii="Avenir" w:cs="Avenir" w:eastAsia="Avenir" w:hAnsi="Avenir"/>
          <w:color w:val="0e101a"/>
          <w:sz w:val="15"/>
          <w:szCs w:val="15"/>
          <w:rtl w:val="0"/>
        </w:rPr>
        <w:t xml:space="preserve">https://eur-lex.europa.eu/eli/reg/2023/2854/oj</w:t>
      </w:r>
      <w:r w:rsidDel="00000000" w:rsidR="00000000" w:rsidRPr="00000000">
        <w:rPr>
          <w:rtl w:val="0"/>
        </w:rPr>
      </w:r>
    </w:p>
    <w:p w:rsidR="00000000" w:rsidDel="00000000" w:rsidP="00000000" w:rsidRDefault="00000000" w:rsidRPr="00000000" w14:paraId="00000080">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Fonts w:ascii="Avenir" w:cs="Avenir" w:eastAsia="Avenir" w:hAnsi="Avenir"/>
          <w:color w:val="0e101a"/>
          <w:sz w:val="15"/>
          <w:szCs w:val="15"/>
          <w:rtl w:val="0"/>
        </w:rPr>
        <w:t xml:space="preserve">[16] Goel S. Surge AI CEO says he worries that companies are optimizing for AI slop. Business Insider. Published December 2025. Accessed March 31, 2026. </w:t>
      </w:r>
      <w:hyperlink r:id="rId6">
        <w:r w:rsidDel="00000000" w:rsidR="00000000" w:rsidRPr="00000000">
          <w:rPr>
            <w:rFonts w:ascii="Avenir" w:cs="Avenir" w:eastAsia="Avenir" w:hAnsi="Avenir"/>
            <w:color w:val="1155cc"/>
            <w:sz w:val="15"/>
            <w:szCs w:val="15"/>
            <w:u w:val="single"/>
            <w:rtl w:val="0"/>
          </w:rPr>
          <w:t xml:space="preserve">https://www.businessinsider.com/surgeai-ceo-edwin-chen-companies-optimizing-ai-slop-benchmark-gaming-2025-12</w:t>
        </w:r>
      </w:hyperlink>
      <w:r w:rsidDel="00000000" w:rsidR="00000000" w:rsidRPr="00000000">
        <w:rPr>
          <w:rtl w:val="0"/>
        </w:rPr>
      </w:r>
    </w:p>
    <w:p w:rsidR="00000000" w:rsidDel="00000000" w:rsidP="00000000" w:rsidRDefault="00000000" w:rsidRPr="00000000" w14:paraId="00000081">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Fonts w:ascii="Avenir" w:cs="Avenir" w:eastAsia="Avenir" w:hAnsi="Avenir"/>
          <w:color w:val="0e101a"/>
          <w:sz w:val="15"/>
          <w:szCs w:val="15"/>
          <w:rtl w:val="0"/>
        </w:rPr>
        <w:t xml:space="preserve">[</w:t>
      </w:r>
      <w:r w:rsidDel="00000000" w:rsidR="00000000" w:rsidRPr="00000000">
        <w:rPr>
          <w:rFonts w:ascii="Avenir" w:cs="Avenir" w:eastAsia="Avenir" w:hAnsi="Avenir"/>
          <w:color w:val="0e101a"/>
          <w:sz w:val="15"/>
          <w:szCs w:val="15"/>
          <w:rtl w:val="0"/>
        </w:rPr>
        <w:t xml:space="preserve">1</w:t>
      </w:r>
      <w:r w:rsidDel="00000000" w:rsidR="00000000" w:rsidRPr="00000000">
        <w:rPr>
          <w:rFonts w:ascii="Avenir" w:cs="Avenir" w:eastAsia="Avenir" w:hAnsi="Avenir"/>
          <w:color w:val="0e101a"/>
          <w:sz w:val="15"/>
          <w:szCs w:val="15"/>
          <w:rtl w:val="0"/>
        </w:rPr>
        <w:t xml:space="preserve">7] Placeholder</w:t>
      </w:r>
    </w:p>
    <w:p w:rsidR="00000000" w:rsidDel="00000000" w:rsidP="00000000" w:rsidRDefault="00000000" w:rsidRPr="00000000" w14:paraId="00000082">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1155cc"/>
          <w:sz w:val="15"/>
          <w:szCs w:val="15"/>
          <w:u w:val="single"/>
        </w:rPr>
      </w:pPr>
      <w:r w:rsidDel="00000000" w:rsidR="00000000" w:rsidRPr="00000000">
        <w:rPr>
          <w:rFonts w:ascii="Avenir" w:cs="Avenir" w:eastAsia="Avenir" w:hAnsi="Avenir"/>
          <w:color w:val="0e101a"/>
          <w:sz w:val="15"/>
          <w:szCs w:val="15"/>
          <w:rtl w:val="0"/>
        </w:rPr>
        <w:t xml:space="preserve">[</w:t>
      </w:r>
      <w:r w:rsidDel="00000000" w:rsidR="00000000" w:rsidRPr="00000000">
        <w:rPr>
          <w:rFonts w:ascii="Avenir" w:cs="Avenir" w:eastAsia="Avenir" w:hAnsi="Avenir"/>
          <w:color w:val="0e101a"/>
          <w:sz w:val="15"/>
          <w:szCs w:val="15"/>
          <w:rtl w:val="0"/>
        </w:rPr>
        <w:t xml:space="preserve">18</w:t>
      </w:r>
      <w:r w:rsidDel="00000000" w:rsidR="00000000" w:rsidRPr="00000000">
        <w:rPr>
          <w:rFonts w:ascii="Avenir" w:cs="Avenir" w:eastAsia="Avenir" w:hAnsi="Avenir"/>
          <w:color w:val="0e101a"/>
          <w:sz w:val="15"/>
          <w:szCs w:val="15"/>
          <w:rtl w:val="0"/>
        </w:rPr>
        <w:t xml:space="preserve">] </w:t>
      </w:r>
      <w:r w:rsidDel="00000000" w:rsidR="00000000" w:rsidRPr="00000000">
        <w:rPr>
          <w:rFonts w:ascii="Avenir" w:cs="Avenir" w:eastAsia="Avenir" w:hAnsi="Avenir"/>
          <w:color w:val="0e101a"/>
          <w:sz w:val="15"/>
          <w:szCs w:val="15"/>
          <w:rtl w:val="0"/>
        </w:rPr>
        <w:t xml:space="preserve">Mescal D. From Data Labeling to Foundation Models: The Rise of Scale AI. Accessed April 1, 2026. https://momen.app/blogs/scale-ai-from-data-labeling-to-foundation-models-rise/</w:t>
      </w:r>
      <w:r w:rsidDel="00000000" w:rsidR="00000000" w:rsidRPr="00000000">
        <w:rPr>
          <w:rFonts w:ascii="Avenir" w:cs="Avenir" w:eastAsia="Avenir" w:hAnsi="Avenir"/>
          <w:color w:val="0e101a"/>
          <w:sz w:val="15"/>
          <w:szCs w:val="15"/>
          <w:rtl w:val="0"/>
        </w:rPr>
        <w:t xml:space="preserve">.</w:t>
      </w:r>
      <w:r w:rsidDel="00000000" w:rsidR="00000000" w:rsidRPr="00000000">
        <w:rPr>
          <w:rtl w:val="0"/>
        </w:rPr>
      </w:r>
    </w:p>
    <w:p w:rsidR="00000000" w:rsidDel="00000000" w:rsidP="00000000" w:rsidRDefault="00000000" w:rsidRPr="00000000" w14:paraId="00000083">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1155cc"/>
          <w:sz w:val="15"/>
          <w:szCs w:val="15"/>
          <w:u w:val="single"/>
        </w:rPr>
      </w:pPr>
      <w:r w:rsidDel="00000000" w:rsidR="00000000" w:rsidRPr="00000000">
        <w:rPr>
          <w:rFonts w:ascii="Avenir" w:cs="Avenir" w:eastAsia="Avenir" w:hAnsi="Avenir"/>
          <w:color w:val="0e101a"/>
          <w:sz w:val="15"/>
          <w:szCs w:val="15"/>
          <w:rtl w:val="0"/>
        </w:rPr>
        <w:t xml:space="preserve">[19] McKinsey and Company. The State of AI in Early 2024. McKinsey and Company; 2024. Accessed March 31, 2026. </w:t>
      </w:r>
      <w:r w:rsidDel="00000000" w:rsidR="00000000" w:rsidRPr="00000000">
        <w:rPr>
          <w:rFonts w:ascii="Avenir" w:cs="Avenir" w:eastAsia="Avenir" w:hAnsi="Avenir"/>
          <w:color w:val="0e101a"/>
          <w:sz w:val="15"/>
          <w:szCs w:val="15"/>
          <w:rtl w:val="0"/>
        </w:rPr>
        <w:t xml:space="preserve">https://www.mckinsey.com/capabilities/quantumblack/our-insights/the-state-of-ai-in-early-2024-gen-ai-adoption-spikes-and-traces-of-value-appear</w:t>
      </w:r>
      <w:r w:rsidDel="00000000" w:rsidR="00000000" w:rsidRPr="00000000">
        <w:rPr>
          <w:rtl w:val="0"/>
        </w:rPr>
      </w:r>
    </w:p>
    <w:p w:rsidR="00000000" w:rsidDel="00000000" w:rsidP="00000000" w:rsidRDefault="00000000" w:rsidRPr="00000000" w14:paraId="00000084">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1155cc"/>
          <w:sz w:val="15"/>
          <w:szCs w:val="15"/>
          <w:u w:val="single"/>
        </w:rPr>
      </w:pPr>
      <w:r w:rsidDel="00000000" w:rsidR="00000000" w:rsidRPr="00000000">
        <w:rPr>
          <w:rFonts w:ascii="Avenir" w:cs="Avenir" w:eastAsia="Avenir" w:hAnsi="Avenir"/>
          <w:color w:val="0e101a"/>
          <w:sz w:val="15"/>
          <w:szCs w:val="15"/>
          <w:rtl w:val="0"/>
        </w:rPr>
        <w:t xml:space="preserve">[20] Grand View Research. Data Marketplace Platform Market Size Report. Grand View Research; 2024. Accessed March 31, 2026. </w:t>
      </w:r>
      <w:r w:rsidDel="00000000" w:rsidR="00000000" w:rsidRPr="00000000">
        <w:rPr>
          <w:rFonts w:ascii="Avenir" w:cs="Avenir" w:eastAsia="Avenir" w:hAnsi="Avenir"/>
          <w:color w:val="0e101a"/>
          <w:sz w:val="15"/>
          <w:szCs w:val="15"/>
          <w:rtl w:val="0"/>
        </w:rPr>
        <w:t xml:space="preserve">https://www.grandviewresearch.com/industry-analysis/data-marketplace-market-report</w:t>
      </w:r>
      <w:r w:rsidDel="00000000" w:rsidR="00000000" w:rsidRPr="00000000">
        <w:rPr>
          <w:rtl w:val="0"/>
        </w:rPr>
      </w:r>
    </w:p>
    <w:p w:rsidR="00000000" w:rsidDel="00000000" w:rsidP="00000000" w:rsidRDefault="00000000" w:rsidRPr="00000000" w14:paraId="00000085">
      <w:pPr>
        <w:pBdr>
          <w:top w:color="000000" w:space="0" w:sz="0" w:val="none"/>
          <w:left w:color="000000" w:space="0" w:sz="0" w:val="none"/>
          <w:bottom w:color="000000" w:space="0" w:sz="0" w:val="none"/>
          <w:right w:color="000000" w:space="0" w:sz="0" w:val="none"/>
          <w:between w:color="000000" w:space="0" w:sz="0" w:val="none"/>
        </w:pBdr>
        <w:spacing w:after="240" w:before="240" w:line="240" w:lineRule="auto"/>
        <w:rPr>
          <w:rFonts w:ascii="Avenir" w:cs="Avenir" w:eastAsia="Avenir" w:hAnsi="Avenir"/>
          <w:color w:val="0e101a"/>
          <w:sz w:val="15"/>
          <w:szCs w:val="15"/>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businessinsider.com/surgeai-ceo-edwin-chen-companies-optimizing-ai-slop-benchmark-gaming-2025-1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