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color w:val="5b9bd5"/>
          <w:sz w:val="24"/>
          <w:szCs w:val="24"/>
        </w:rPr>
      </w:pPr>
      <w:bookmarkStart w:colFirst="0" w:colLast="0" w:name="_fjp7sr8xu269" w:id="0"/>
      <w:bookmarkEnd w:id="0"/>
      <w:commentRangeStart w:id="0"/>
      <w:r w:rsidDel="00000000" w:rsidR="00000000" w:rsidRPr="00000000">
        <w:rPr>
          <w:rFonts w:ascii="Avenir" w:cs="Avenir" w:eastAsia="Avenir" w:hAnsi="Avenir"/>
          <w:color w:val="5b9bd5"/>
          <w:sz w:val="24"/>
          <w:szCs w:val="24"/>
          <w:rtl w:val="0"/>
        </w:rPr>
        <w:t xml:space="preserve">Servitizing The Factory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Facilitating the Shift from Selling Equipment to Guaranteeing Industrial Outcomes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Industrial AI is facilitating a shift in how manufacturing capability is delivered, from equipment sales to continuous performance guarantees. Called servitization or Equipment as a Service (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EaaS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), the model allows vendors to keep asset ownership and instead charge buyers for outcomes such as throughput or efficiency [1]. Although servitization is not new, industrial AI makes it viable at scale. Historically, the lack of granular, real-time data made accurate assessments of asset performance difficult, making performance guarantees risky [2,3]. Recent advancements, including continuous IoT monitoring and predictive analytics, make asset performance more transparent, reducing the information asymmetry that previously hindered outcome-based contracts [4]. AI further strengthens the model through service-to-design feedback loops, which continuously improve future equipment durability [2]. However, despite widespread recognition, most manufacturers remain in early-stage implementation, limited by organizational readiness and the potential costs of carrying assets on their balance sheets [1,4].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Research on 576 European manufacturing firms shows that the combination of servitization and AI-intensive strategies produces greater smart production gains than either alone [2,3].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94% of manufacturing leaders report outcome-based models have impacted operations, but only 25% have fully implemented them, and just 21% have adopted predictive maintenance [4].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  <w:u w:val="non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Servitization turns large capital investments into operating costs, removing equipment from buyers' balance sheets and replacing one-time expenditure with predictable recurring payments [5].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Industrial buyers increasingly demand outcomes, paying for guaranteed uptime or throughput rather than buying and maintaining industrial assets themselves [1].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Eroding margins on equipment sales push manufacturers toward service-based revenue, with more predictable cash flows and deeper customer integration through extended contract cycles [6].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AI enables predictive maintenance and remote monitoring, enabling vendors to accurately guarantee asset performance and price risk. This shifts both risk and reward from buyer to vendor [4].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Under servitization, vendors retain asset ownership and finance buyer usage over time. In a high-interest-rate environment, customers may prefer these models, but the financing costs can pressure vendor margins [1].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Most manufacturers lack the needed digital infrastructure and billing systems. The service paradox literature finds that premature AI investment can hurt returns if integration bottlenecks are unresolved [1,7].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Defining and verifying contractual outcomes remains the key hurdle. IoT and AI analytics are closing this gap, but disputes remain, especially for factors outside the vendor's control [4].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AI:</w:t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Servitization turns AI-based maintenance and monitoring capability into a core selling point [2,3]. It raises the competitive floor for industrial AI adoption, as vendors without reliable performance monitoring cannot price risk or guarantee outcomes [4,6]. Economically, vendors absorb both asset ownership and performance risk [1]. AI-driven outcome verification becomes the mechanism that determines pricing and profits [4]. This fundamentally reshapes industrial relationships, as the vendor's accumulated operational data becomes a competitive asset and switching costs grow with the vendor's operational knowledge [2].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300" w:line="240" w:lineRule="auto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References:</w:t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[1] Broring H, et al. OEM Servitization Strategies: Why Equipment as a Service Has Not Taken Off Yet. IoT Analytics. Published September 26, 2024. Accessed March 2, 2026. 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https://iot-analytics.com/oem-servitization-strategies-equipment-as-a-service/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[2] Bustinza OF, Molina LM, Vendrell-Herrero F, Opazo-Basaez M. AI-enabled smart manufacturing boosts ecosystem value capture: the importance of servitization pathways within digital-intensive industries. International Journal of Production Economics. 2024;277:109411. doi:10.1016/j.ijpe.2024.109411</w:t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[3] Lafuente E, Vaillant Y, Persaud A. Digital service innovation for smarter production: servitized-AI progress towards smart products. Technovation. 2026;151:103466. doi:10.1016/j.technovation.2026.103466</w:t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[4] IFS, Accenture. State of Service in Manufacturing 2025. IFS Blog. Published January 22, 2026. Accessed March 1, 2026. 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https://blog.ifs.com/from-ai-to-outcomes-how-manufacturers-are-transforming-service/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[5] California Management Review. Equipment as a service in machine tool manufacturing: unlocking greater value for all. Published November 2025. Accessed March 29, 2026. 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https://cmr.berkeley.edu/2025/11/equipment-as-a-service-in-machine-tool-manufacturing-unlocking-greater-value-for-all/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[6] Deloitte. 2026 Manufacturing Industry Outlook. Deloitte Insights. Published December 2025. Accessed March 2, 2026. </w:t>
      </w: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https://www.deloitte.com/us/en/insights/industry/manufacturing-industrial-products/manufacturing-industry-outlook.html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0e101a"/>
          <w:sz w:val="15"/>
          <w:szCs w:val="15"/>
          <w:rtl w:val="0"/>
        </w:rPr>
        <w:t xml:space="preserve">[7] Yan K, Pang X, Li Q, Tian G, Dong X. When does artificial intelligence innovation pay in servitization? A combined organizational learning and socio-technical systems perspective. Journal of Innovation and Knowledge. 2026;14:100960. doi:10.1016/j.jik.2026.100960</w:t>
      </w:r>
    </w:p>
    <w:p w:rsidR="00000000" w:rsidDel="00000000" w:rsidP="00000000" w:rsidRDefault="00000000" w:rsidRPr="00000000" w14:paraId="0000001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rPr>
          <w:rFonts w:ascii="Avenir" w:cs="Avenir" w:eastAsia="Avenir" w:hAnsi="Avenir"/>
          <w:color w:val="0e101a"/>
          <w:sz w:val="15"/>
          <w:szCs w:val="15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Uli Prantz" w:id="0" w:date="2026-03-31T07:45:08Z"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Fine from my side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