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5b9bd5"/>
          <w:sz w:val="24"/>
          <w:szCs w:val="24"/>
        </w:rPr>
      </w:pPr>
      <w:bookmarkStart w:colFirst="0" w:colLast="0" w:name="_molf7rbsh6gh" w:id="0"/>
      <w:bookmarkEnd w:id="0"/>
      <w:r w:rsidDel="00000000" w:rsidR="00000000" w:rsidRPr="00000000">
        <w:rPr>
          <w:rFonts w:ascii="Avenir" w:cs="Avenir" w:eastAsia="Avenir" w:hAnsi="Avenir"/>
          <w:b w:val="1"/>
          <w:bCs w:val="1"/>
          <w:color w:val="5b9bd5"/>
          <w:sz w:val="24"/>
          <w:szCs w:val="24"/>
          <w:rtl w:val="0"/>
        </w:rPr>
        <w:t xml:space="preserve">Emerging Transfer Dynamics in AI Labour Markets</w:t>
      </w:r>
    </w:p>
    <w:p w:rsidR="00000000" w:rsidDel="00000000" w:rsidP="00000000" w:rsidRDefault="00000000" w:rsidRPr="00000000" w14:paraId="00000002">
      <w:pPr>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Scarce AI Talent is Turning Workforce Training into a High-Stakes Capital Investment</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Workers with AI skills command a 56% wage premium over comparable roles, a figure that doubled in a single year [1]. Developing these specialists takes years of firm investment, but retaining them is increasingly difficult: Meta has offered individual researchers packages worth up to 300M USD, while OpenAI spent 1.5M USD per employee in stock compensation largely to prevent departures [2,3]. When a trained specialist leaves, the firm that developed them receives nothing. In professional football, transfer fees address this: the hiring club pays a fee to the developing club, creating a financial incentive to invest in talent even when players move [4]. No equivalent exists in AI labor markets, and </w:t>
      </w:r>
      <w:r w:rsidDel="00000000" w:rsidR="00000000" w:rsidRPr="00000000">
        <w:rPr>
          <w:rFonts w:ascii="Avenir" w:cs="Avenir" w:eastAsia="Avenir" w:hAnsi="Avenir"/>
          <w:color w:val="3c3f42"/>
          <w:sz w:val="15"/>
          <w:szCs w:val="15"/>
          <w:rtl w:val="0"/>
        </w:rPr>
        <w:t xml:space="preserve">non-compete clauses</w:t>
      </w:r>
      <w:r w:rsidDel="00000000" w:rsidR="00000000" w:rsidRPr="00000000">
        <w:rPr>
          <w:rFonts w:ascii="Avenir" w:cs="Avenir" w:eastAsia="Avenir" w:hAnsi="Avenir"/>
          <w:color w:val="3c3f42"/>
          <w:sz w:val="15"/>
          <w:szCs w:val="15"/>
          <w:rtl w:val="0"/>
        </w:rPr>
        <w:t xml:space="preserve">, the traditional alternative, are increasingly being restricted under regulatory pressure [5]. A transfer fee for AI talent could fill this gap, compensating training firms without restricting worker mobility. The legal profession shows what this costs in practice: replacing a trained associate runs 200k USD to 500k USD, yet firms that hire laterally pay nothing to the firm that trained them [6]. In AI, where each specialist is more costly to develop and harder to replace, this dynamic is more acute.</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Demand for AI talent is growing against the broader trend: job postings requiring AI skills rose 7.5% year-on-year even as total job postings fell 11.3%, based on analysis of nearly one billion job ads across six continents [1].</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Meta has offered AI researchers packages worth up to 300M USD over four years. OpenAI's average stock compensation reached 1.5M USD per employee in 2025, 34 times the pre-IPO average of 18 other major tech companies over the past 25 years [2,3].</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Across the OECD, large firms are over three times as likely to use AI as small firms (39% vs. 12%). Among SMEs using generative AI, fewer than 30% provide any AI-related training to employees [7].</w:t>
      </w:r>
    </w:p>
    <w:p w:rsidR="00000000" w:rsidDel="00000000" w:rsidP="00000000" w:rsidRDefault="00000000" w:rsidRPr="00000000" w14:paraId="00000009">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compensation gap between AI specialists and other workers is widening, making it increasingly profitable to recruit trained talent rather than develop it in-house. With individual signing bonuses reportedly reaching nine figures at leading firms, poaching is often cheaper than years of internal training, even at extreme prices [2,3].</w:t>
      </w:r>
      <w:r w:rsidDel="00000000" w:rsidR="00000000" w:rsidRPr="00000000">
        <w:rPr>
          <w:rtl w:val="0"/>
        </w:rPr>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Regulatory changes are removing the few tools firms had to protect training investments. California and several other US states prohibit non-competes, and training repayment agreements face growing legal scrutiny, leaving firms with fewer ways to recoup development costs when workers leave [5].</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D">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is automating many junior tasks that traditionally served as training grounds for future specialists. Employment for workers aged 22-25 in AI-exposed occupations has declined 13% since late 2022. [8] With fewer junior positions, developing senior AI talent takes longer and costs more.</w:t>
      </w:r>
      <w:r w:rsidDel="00000000" w:rsidR="00000000" w:rsidRPr="00000000">
        <w:rPr>
          <w:rtl w:val="0"/>
        </w:rPr>
      </w:r>
    </w:p>
    <w:p w:rsidR="00000000" w:rsidDel="00000000" w:rsidP="00000000" w:rsidRDefault="00000000" w:rsidRPr="00000000" w14:paraId="0000000E">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Small and mid-sized firms cannot match big tech retention packages, so any investment they make in developing AI talent is likely lost when those workers are recruited away. For SMEs, training AI specialists becomes an investment where the returns are captured by competitors rather than the firm that paid. [7]</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When firms that train AI workers bear the full cost while firms that recruit them capture the full benefit, the rational response is to underinvest in training. This slows industrial AI adoption across the board. The effect falls unevenly: large firms can absorb talent losses and outbid smaller rivals, while SMEs, which make up the majority of firms in most industrial sectors, fall further behind in AI capability. [7] Over time, industrial AI expertise concentrates on fewer, larger players. The competitive advantage shifts from access to technology, which is increasingly commoditized, to the ability to develop and retain the people who can deploy it. [9]</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References: </w:t>
      </w:r>
      <w:r w:rsidDel="00000000" w:rsidR="00000000" w:rsidRPr="00000000">
        <w:rPr>
          <w:rtl w:val="0"/>
        </w:rPr>
      </w:r>
    </w:p>
    <w:p w:rsidR="00000000" w:rsidDel="00000000" w:rsidP="00000000" w:rsidRDefault="00000000" w:rsidRPr="00000000" w14:paraId="0000001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PwC. Global AI Jobs Barometer 2025: The Fearless Future. Published June 2025.</w:t>
      </w:r>
      <w:hyperlink r:id="rId6">
        <w:r w:rsidDel="00000000" w:rsidR="00000000" w:rsidRPr="00000000">
          <w:rPr>
            <w:rFonts w:ascii="Avenir" w:cs="Avenir" w:eastAsia="Avenir" w:hAnsi="Avenir"/>
            <w:color w:val="3c3f42"/>
            <w:sz w:val="15"/>
            <w:szCs w:val="15"/>
            <w:rtl w:val="0"/>
          </w:rPr>
          <w:t xml:space="preserve"> </w:t>
        </w:r>
      </w:hyperlink>
      <w:r w:rsidDel="00000000" w:rsidR="00000000" w:rsidRPr="00000000">
        <w:rPr>
          <w:rFonts w:ascii="Avenir" w:cs="Avenir" w:eastAsia="Avenir" w:hAnsi="Avenir"/>
          <w:color w:val="3c3f42"/>
          <w:sz w:val="15"/>
          <w:szCs w:val="15"/>
          <w:rtl w:val="0"/>
        </w:rPr>
        <w:t xml:space="preserve">Accessed March 31, 2026. </w:t>
      </w:r>
      <w:hyperlink r:id="rId7">
        <w:r w:rsidDel="00000000" w:rsidR="00000000" w:rsidRPr="00000000">
          <w:rPr>
            <w:rFonts w:ascii="Avenir" w:cs="Avenir" w:eastAsia="Avenir" w:hAnsi="Avenir"/>
            <w:color w:val="1155cc"/>
            <w:sz w:val="15"/>
            <w:szCs w:val="15"/>
            <w:u w:val="single"/>
            <w:rtl w:val="0"/>
          </w:rPr>
          <w:t xml:space="preserve">https://www.pwc.com/gx/en/issues/artificial-intelligence/job-barometer/2025/report.pdf</w:t>
        </w:r>
      </w:hyperlink>
      <w:r w:rsidDel="00000000" w:rsidR="00000000" w:rsidRPr="00000000">
        <w:rPr>
          <w:rtl w:val="0"/>
        </w:rPr>
      </w:r>
    </w:p>
    <w:p w:rsidR="00000000" w:rsidDel="00000000" w:rsidP="00000000" w:rsidRDefault="00000000" w:rsidRPr="00000000" w14:paraId="00000014">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Fortune. Meta's $100M signing bonuses for OpenAI staff are just the latest sign of extreme AI talent war. Published June 18, 2025. Accessed March 31, 2026.</w:t>
      </w:r>
      <w:hyperlink r:id="rId8">
        <w:r w:rsidDel="00000000" w:rsidR="00000000" w:rsidRPr="00000000">
          <w:rPr>
            <w:rFonts w:ascii="Avenir" w:cs="Avenir" w:eastAsia="Avenir" w:hAnsi="Avenir"/>
            <w:color w:val="3c3f42"/>
            <w:sz w:val="15"/>
            <w:szCs w:val="15"/>
            <w:rtl w:val="0"/>
          </w:rPr>
          <w:t xml:space="preserve"> </w:t>
        </w:r>
      </w:hyperlink>
      <w:hyperlink r:id="rId9">
        <w:r w:rsidDel="00000000" w:rsidR="00000000" w:rsidRPr="00000000">
          <w:rPr>
            <w:rFonts w:ascii="Avenir" w:cs="Avenir" w:eastAsia="Avenir" w:hAnsi="Avenir"/>
            <w:color w:val="1155cc"/>
            <w:sz w:val="15"/>
            <w:szCs w:val="15"/>
            <w:u w:val="single"/>
            <w:rtl w:val="0"/>
          </w:rPr>
          <w:t xml:space="preserve">https://fortune.com/2025/06/18/metas-100-million-signing-bonuses-openai-staff-extreme-ai-talent-war/</w:t>
        </w:r>
      </w:hyperlink>
      <w:r w:rsidDel="00000000" w:rsidR="00000000" w:rsidRPr="00000000">
        <w:rPr>
          <w:rtl w:val="0"/>
        </w:rPr>
      </w:r>
    </w:p>
    <w:p w:rsidR="00000000" w:rsidDel="00000000" w:rsidP="00000000" w:rsidRDefault="00000000" w:rsidRPr="00000000" w14:paraId="00000015">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Fortune / WSJ. OpenAI is paying workers $1.5 million in stock-based compensation on average. Published February 18, 2026. Accessed March 31, 2026.</w:t>
      </w:r>
      <w:hyperlink r:id="rId10">
        <w:r w:rsidDel="00000000" w:rsidR="00000000" w:rsidRPr="00000000">
          <w:rPr>
            <w:rFonts w:ascii="Avenir" w:cs="Avenir" w:eastAsia="Avenir" w:hAnsi="Avenir"/>
            <w:color w:val="3c3f42"/>
            <w:sz w:val="15"/>
            <w:szCs w:val="15"/>
            <w:rtl w:val="0"/>
          </w:rPr>
          <w:t xml:space="preserve"> </w:t>
        </w:r>
      </w:hyperlink>
      <w:hyperlink r:id="rId11">
        <w:r w:rsidDel="00000000" w:rsidR="00000000" w:rsidRPr="00000000">
          <w:rPr>
            <w:rFonts w:ascii="Avenir" w:cs="Avenir" w:eastAsia="Avenir" w:hAnsi="Avenir"/>
            <w:color w:val="1155cc"/>
            <w:sz w:val="15"/>
            <w:szCs w:val="15"/>
            <w:u w:val="single"/>
            <w:rtl w:val="0"/>
          </w:rPr>
          <w:t xml:space="preserve">https://fortune.com/2026/02/18/openai-chatgpt-creator-record-million-dollar-equity-compensation-ai-tech-talent-war-career-retention-sam-altman-millionaire-staff/</w:t>
        </w:r>
      </w:hyperlink>
      <w:r w:rsidDel="00000000" w:rsidR="00000000" w:rsidRPr="00000000">
        <w:rPr>
          <w:rtl w:val="0"/>
        </w:rPr>
      </w:r>
    </w:p>
    <w:p w:rsidR="00000000" w:rsidDel="00000000" w:rsidP="00000000" w:rsidRDefault="00000000" w:rsidRPr="00000000" w14:paraId="0000001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Hoey S, Peeters T, Principe F. The Transfer System in European Football: A Pro-Competitive No-Poaching Agreement? International Journal of Industrial Organization, 75, March 2021. Accessed March 31, 2026.</w:t>
      </w:r>
      <w:hyperlink r:id="rId12">
        <w:r w:rsidDel="00000000" w:rsidR="00000000" w:rsidRPr="00000000">
          <w:rPr>
            <w:rFonts w:ascii="Avenir" w:cs="Avenir" w:eastAsia="Avenir" w:hAnsi="Avenir"/>
            <w:color w:val="3c3f42"/>
            <w:sz w:val="15"/>
            <w:szCs w:val="15"/>
            <w:rtl w:val="0"/>
          </w:rPr>
          <w:t xml:space="preserve"> </w:t>
        </w:r>
      </w:hyperlink>
      <w:hyperlink r:id="rId13">
        <w:r w:rsidDel="00000000" w:rsidR="00000000" w:rsidRPr="00000000">
          <w:rPr>
            <w:rFonts w:ascii="Avenir" w:cs="Avenir" w:eastAsia="Avenir" w:hAnsi="Avenir"/>
            <w:color w:val="1155cc"/>
            <w:sz w:val="15"/>
            <w:szCs w:val="15"/>
            <w:u w:val="single"/>
            <w:rtl w:val="0"/>
          </w:rPr>
          <w:t xml:space="preserve">https://papers.tinbergen.nl/20034.pdf</w:t>
        </w:r>
      </w:hyperlink>
      <w:r w:rsidDel="00000000" w:rsidR="00000000" w:rsidRPr="00000000">
        <w:rPr>
          <w:rtl w:val="0"/>
        </w:rPr>
      </w:r>
    </w:p>
    <w:p w:rsidR="00000000" w:rsidDel="00000000" w:rsidP="00000000" w:rsidRDefault="00000000" w:rsidRPr="00000000" w14:paraId="0000001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FTC. Non-Compete Clause Rule. Federal Register. Published May 7, 2024.</w:t>
      </w:r>
      <w:hyperlink r:id="rId14">
        <w:r w:rsidDel="00000000" w:rsidR="00000000" w:rsidRPr="00000000">
          <w:rPr>
            <w:rFonts w:ascii="Avenir" w:cs="Avenir" w:eastAsia="Avenir" w:hAnsi="Avenir"/>
            <w:color w:val="3c3f42"/>
            <w:sz w:val="15"/>
            <w:szCs w:val="15"/>
            <w:rtl w:val="0"/>
          </w:rPr>
          <w:t xml:space="preserve"> </w:t>
        </w:r>
      </w:hyperlink>
      <w:r w:rsidDel="00000000" w:rsidR="00000000" w:rsidRPr="00000000">
        <w:rPr>
          <w:rFonts w:ascii="Avenir" w:cs="Avenir" w:eastAsia="Avenir" w:hAnsi="Avenir"/>
          <w:color w:val="3c3f42"/>
          <w:sz w:val="15"/>
          <w:szCs w:val="15"/>
          <w:rtl w:val="0"/>
        </w:rPr>
        <w:t xml:space="preserve">Accessed March 31, 2026. </w:t>
      </w:r>
      <w:hyperlink r:id="rId15">
        <w:r w:rsidDel="00000000" w:rsidR="00000000" w:rsidRPr="00000000">
          <w:rPr>
            <w:rFonts w:ascii="Avenir" w:cs="Avenir" w:eastAsia="Avenir" w:hAnsi="Avenir"/>
            <w:color w:val="1155cc"/>
            <w:sz w:val="15"/>
            <w:szCs w:val="15"/>
            <w:u w:val="single"/>
            <w:rtl w:val="0"/>
          </w:rPr>
          <w:t xml:space="preserve">https://www.federalregister.gov/documents/2024/05/07/2024-09171/non-compete-clause-rule</w:t>
        </w:r>
      </w:hyperlink>
      <w:r w:rsidDel="00000000" w:rsidR="00000000" w:rsidRPr="00000000">
        <w:rPr>
          <w:rtl w:val="0"/>
        </w:rPr>
      </w:r>
    </w:p>
    <w:p w:rsidR="00000000" w:rsidDel="00000000" w:rsidP="00000000" w:rsidRDefault="00000000" w:rsidRPr="00000000" w14:paraId="0000001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Rushing S. The cost of law firm associate turnover. Lateral Link. May 13, 2022. Accessed March 31, 2026. </w:t>
      </w:r>
      <w:hyperlink r:id="rId16">
        <w:r w:rsidDel="00000000" w:rsidR="00000000" w:rsidRPr="00000000">
          <w:rPr>
            <w:rFonts w:ascii="Avenir" w:cs="Avenir" w:eastAsia="Avenir" w:hAnsi="Avenir"/>
            <w:color w:val="1155cc"/>
            <w:sz w:val="15"/>
            <w:szCs w:val="15"/>
            <w:u w:val="single"/>
            <w:rtl w:val="0"/>
          </w:rPr>
          <w:t xml:space="preserve">https://laterallink.com/the-cost-of-law-firm-associate-turnover/</w:t>
        </w:r>
      </w:hyperlink>
      <w:r w:rsidDel="00000000" w:rsidR="00000000" w:rsidRPr="00000000">
        <w:rPr>
          <w:rtl w:val="0"/>
        </w:rPr>
      </w:r>
    </w:p>
    <w:p w:rsidR="00000000" w:rsidDel="00000000" w:rsidP="00000000" w:rsidRDefault="00000000" w:rsidRPr="00000000" w14:paraId="00000019">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OECD. AI Adoption by Small and Medium-Sized Enterprises. Published December 2025.</w:t>
      </w:r>
      <w:hyperlink r:id="rId17">
        <w:r w:rsidDel="00000000" w:rsidR="00000000" w:rsidRPr="00000000">
          <w:rPr>
            <w:rFonts w:ascii="Avenir" w:cs="Avenir" w:eastAsia="Avenir" w:hAnsi="Avenir"/>
            <w:color w:val="3c3f42"/>
            <w:sz w:val="15"/>
            <w:szCs w:val="15"/>
            <w:rtl w:val="0"/>
          </w:rPr>
          <w:t xml:space="preserve"> </w:t>
        </w:r>
      </w:hyperlink>
      <w:r w:rsidDel="00000000" w:rsidR="00000000" w:rsidRPr="00000000">
        <w:rPr>
          <w:rFonts w:ascii="Avenir" w:cs="Avenir" w:eastAsia="Avenir" w:hAnsi="Avenir"/>
          <w:color w:val="3c3f42"/>
          <w:sz w:val="15"/>
          <w:szCs w:val="15"/>
          <w:rtl w:val="0"/>
        </w:rPr>
        <w:t xml:space="preserve">Accessed March 31, 2026. </w:t>
      </w:r>
      <w:hyperlink r:id="rId18">
        <w:r w:rsidDel="00000000" w:rsidR="00000000" w:rsidRPr="00000000">
          <w:rPr>
            <w:rFonts w:ascii="Avenir" w:cs="Avenir" w:eastAsia="Avenir" w:hAnsi="Avenir"/>
            <w:color w:val="1155cc"/>
            <w:sz w:val="15"/>
            <w:szCs w:val="15"/>
            <w:u w:val="single"/>
            <w:rtl w:val="0"/>
          </w:rPr>
          <w:t xml:space="preserve">https://www.oecd.org/en/publications/ai-adoption-by-small-and-medium-sized-enterprises_426399c1-en.html</w:t>
        </w:r>
      </w:hyperlink>
      <w:r w:rsidDel="00000000" w:rsidR="00000000" w:rsidRPr="00000000">
        <w:rPr>
          <w:rtl w:val="0"/>
        </w:rPr>
      </w:r>
    </w:p>
    <w:p w:rsidR="00000000" w:rsidDel="00000000" w:rsidP="00000000" w:rsidRDefault="00000000" w:rsidRPr="00000000" w14:paraId="0000001A">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Brynjolfsson E, Chandar B, Chen R. Canaries in the Coal Mine? Six Facts About the Recent Employment Effects of Artificial Intelligence. Stanford Digital Economy Lab. Published November 13, 2025.</w:t>
      </w:r>
      <w:hyperlink r:id="rId19">
        <w:r w:rsidDel="00000000" w:rsidR="00000000" w:rsidRPr="00000000">
          <w:rPr>
            <w:rFonts w:ascii="Avenir" w:cs="Avenir" w:eastAsia="Avenir" w:hAnsi="Avenir"/>
            <w:color w:val="3c3f42"/>
            <w:sz w:val="15"/>
            <w:szCs w:val="15"/>
            <w:rtl w:val="0"/>
          </w:rPr>
          <w:t xml:space="preserve"> </w:t>
        </w:r>
      </w:hyperlink>
      <w:r w:rsidDel="00000000" w:rsidR="00000000" w:rsidRPr="00000000">
        <w:rPr>
          <w:rFonts w:ascii="Avenir" w:cs="Avenir" w:eastAsia="Avenir" w:hAnsi="Avenir"/>
          <w:color w:val="3c3f42"/>
          <w:sz w:val="15"/>
          <w:szCs w:val="15"/>
          <w:rtl w:val="0"/>
        </w:rPr>
        <w:t xml:space="preserve">Accessed March 31, 2026. </w:t>
      </w:r>
      <w:hyperlink r:id="rId20">
        <w:r w:rsidDel="00000000" w:rsidR="00000000" w:rsidRPr="00000000">
          <w:rPr>
            <w:rFonts w:ascii="Avenir" w:cs="Avenir" w:eastAsia="Avenir" w:hAnsi="Avenir"/>
            <w:color w:val="1155cc"/>
            <w:sz w:val="15"/>
            <w:szCs w:val="15"/>
            <w:u w:val="single"/>
            <w:rtl w:val="0"/>
          </w:rPr>
          <w:t xml:space="preserve">https://digitaleconomy.stanford.edu/publications/canaries-in-the-coal-mine/</w:t>
        </w:r>
      </w:hyperlink>
      <w:r w:rsidDel="00000000" w:rsidR="00000000" w:rsidRPr="00000000">
        <w:rPr>
          <w:rtl w:val="0"/>
        </w:rPr>
      </w:r>
    </w:p>
    <w:p w:rsidR="00000000" w:rsidDel="00000000" w:rsidP="00000000" w:rsidRDefault="00000000" w:rsidRPr="00000000" w14:paraId="0000001B">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World Economic Forum. Future of Jobs Report 2025. Published January 8, 2025.</w:t>
      </w:r>
      <w:hyperlink r:id="rId21">
        <w:r w:rsidDel="00000000" w:rsidR="00000000" w:rsidRPr="00000000">
          <w:rPr>
            <w:rFonts w:ascii="Avenir" w:cs="Avenir" w:eastAsia="Avenir" w:hAnsi="Avenir"/>
            <w:color w:val="3c3f42"/>
            <w:sz w:val="15"/>
            <w:szCs w:val="15"/>
            <w:rtl w:val="0"/>
          </w:rPr>
          <w:t xml:space="preserve"> </w:t>
        </w:r>
      </w:hyperlink>
      <w:r w:rsidDel="00000000" w:rsidR="00000000" w:rsidRPr="00000000">
        <w:rPr>
          <w:rFonts w:ascii="Avenir" w:cs="Avenir" w:eastAsia="Avenir" w:hAnsi="Avenir"/>
          <w:color w:val="3c3f42"/>
          <w:sz w:val="15"/>
          <w:szCs w:val="15"/>
          <w:rtl w:val="0"/>
        </w:rPr>
        <w:t xml:space="preserve">Accessed March 31, 2026. </w:t>
      </w:r>
      <w:hyperlink r:id="rId22">
        <w:r w:rsidDel="00000000" w:rsidR="00000000" w:rsidRPr="00000000">
          <w:rPr>
            <w:rFonts w:ascii="Avenir" w:cs="Avenir" w:eastAsia="Avenir" w:hAnsi="Avenir"/>
            <w:color w:val="1155cc"/>
            <w:sz w:val="15"/>
            <w:szCs w:val="15"/>
            <w:u w:val="single"/>
            <w:rtl w:val="0"/>
          </w:rPr>
          <w:t xml:space="preserve">https://reports.weforum.org/docs/WEF_Future_of_Jobs_Report_2025.pdf</w:t>
        </w:r>
      </w:hyperlink>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igitaleconomy.stanford.edu/publications/canaries-in-the-coal-mine/" TargetMode="External"/><Relationship Id="rId11" Type="http://schemas.openxmlformats.org/officeDocument/2006/relationships/hyperlink" Target="https://fortune.com/2026/02/18/openai-chatgpt-creator-record-million-dollar-equity-compensation-ai-tech-talent-war-career-retention-sam-altman-millionaire-staff/" TargetMode="External"/><Relationship Id="rId22" Type="http://schemas.openxmlformats.org/officeDocument/2006/relationships/hyperlink" Target="https://reports.weforum.org/docs/WEF_Future_of_Jobs_Report_2025.pdf" TargetMode="External"/><Relationship Id="rId10" Type="http://schemas.openxmlformats.org/officeDocument/2006/relationships/hyperlink" Target="https://fortune.com/2026/02/18/openai-chatgpt-creator-record-million-dollar-equity-compensation-ai-tech-talent-war-career-retention-sam-altman-millionaire-staff/" TargetMode="External"/><Relationship Id="rId21" Type="http://schemas.openxmlformats.org/officeDocument/2006/relationships/hyperlink" Target="https://reports.weforum.org/docs/WEF_Future_of_Jobs_Report_2025.pdf" TargetMode="External"/><Relationship Id="rId13" Type="http://schemas.openxmlformats.org/officeDocument/2006/relationships/hyperlink" Target="https://papers.tinbergen.nl/20034.pdf" TargetMode="External"/><Relationship Id="rId12" Type="http://schemas.openxmlformats.org/officeDocument/2006/relationships/hyperlink" Target="https://papers.tinbergen.nl/20034.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ortune.com/2025/06/18/metas-100-million-signing-bonuses-openai-staff-extreme-ai-talent-war/" TargetMode="External"/><Relationship Id="rId15" Type="http://schemas.openxmlformats.org/officeDocument/2006/relationships/hyperlink" Target="https://www.federalregister.gov/documents/2024/05/07/2024-09171/non-compete-clause-rule" TargetMode="External"/><Relationship Id="rId14" Type="http://schemas.openxmlformats.org/officeDocument/2006/relationships/hyperlink" Target="https://www.federalregister.gov/documents/2024/05/07/2024-09171/non-compete-clause-rule" TargetMode="External"/><Relationship Id="rId17" Type="http://schemas.openxmlformats.org/officeDocument/2006/relationships/hyperlink" Target="https://www.oecd.org/en/publications/ai-adoption-by-small-and-medium-sized-enterprises_426399c1-en.html" TargetMode="External"/><Relationship Id="rId16" Type="http://schemas.openxmlformats.org/officeDocument/2006/relationships/hyperlink" Target="https://laterallink.com/the-cost-of-law-firm-associate-turnover/" TargetMode="External"/><Relationship Id="rId5" Type="http://schemas.openxmlformats.org/officeDocument/2006/relationships/styles" Target="styles.xml"/><Relationship Id="rId19" Type="http://schemas.openxmlformats.org/officeDocument/2006/relationships/hyperlink" Target="https://digitaleconomy.stanford.edu/publications/canaries-in-the-coal-mine/" TargetMode="External"/><Relationship Id="rId6" Type="http://schemas.openxmlformats.org/officeDocument/2006/relationships/hyperlink" Target="https://www.pwc.com/gx/en/issues/artificial-intelligence/job-barometer/2025/report.pdf" TargetMode="External"/><Relationship Id="rId18" Type="http://schemas.openxmlformats.org/officeDocument/2006/relationships/hyperlink" Target="https://www.oecd.org/en/publications/ai-adoption-by-small-and-medium-sized-enterprises_426399c1-en.html" TargetMode="External"/><Relationship Id="rId7" Type="http://schemas.openxmlformats.org/officeDocument/2006/relationships/hyperlink" Target="https://www.pwc.com/gx/en/issues/artificial-intelligence/job-barometer/2025/report.pdf" TargetMode="External"/><Relationship Id="rId8" Type="http://schemas.openxmlformats.org/officeDocument/2006/relationships/hyperlink" Target="https://fortune.com/2025/06/18/metas-100-million-signing-bonuses-openai-staff-extreme-ai-talent-w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