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5a5a5a"/>
          <w:sz w:val="14"/>
          <w:szCs w:val="14"/>
          <w:u w:val="single"/>
        </w:rPr>
      </w:pPr>
      <w:r w:rsidDel="00000000" w:rsidR="00000000" w:rsidRPr="00000000">
        <w:rPr>
          <w:rFonts w:ascii="Avenir" w:cs="Avenir" w:eastAsia="Avenir" w:hAnsi="Avenir"/>
          <w:b w:val="1"/>
          <w:bCs w:val="1"/>
          <w:color w:val="5a5a5a"/>
          <w:sz w:val="14"/>
          <w:szCs w:val="14"/>
          <w:u w:val="single"/>
          <w:rtl w:val="0"/>
        </w:rPr>
        <w:t xml:space="preserve">Economy Intro</w:t>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5a5a5a"/>
          <w:sz w:val="14"/>
          <w:szCs w:val="14"/>
        </w:rPr>
      </w:pP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5a5a5a"/>
          <w:sz w:val="14"/>
          <w:szCs w:val="14"/>
        </w:rPr>
      </w:pPr>
      <w:r w:rsidDel="00000000" w:rsidR="00000000" w:rsidRPr="00000000">
        <w:rPr>
          <w:rFonts w:ascii="Avenir" w:cs="Avenir" w:eastAsia="Avenir" w:hAnsi="Avenir"/>
          <w:color w:val="5a5a5a"/>
          <w:sz w:val="14"/>
          <w:szCs w:val="14"/>
          <w:rtl w:val="0"/>
        </w:rPr>
        <w:t xml:space="preserve">Manufacturing is undergoing its most significant structural transformation since the introduction of mass production. </w:t>
      </w:r>
      <w:r w:rsidDel="00000000" w:rsidR="00000000" w:rsidRPr="00000000">
        <w:rPr>
          <w:rFonts w:ascii="Avenir" w:cs="Avenir" w:eastAsia="Avenir" w:hAnsi="Avenir"/>
          <w:color w:val="5a5a5a"/>
          <w:sz w:val="14"/>
          <w:szCs w:val="14"/>
          <w:rtl w:val="0"/>
        </w:rPr>
        <w:t xml:space="preserve">In this </w:t>
      </w:r>
      <w:r w:rsidDel="00000000" w:rsidR="00000000" w:rsidRPr="00000000">
        <w:rPr>
          <w:rFonts w:ascii="Avenir" w:cs="Avenir" w:eastAsia="Avenir" w:hAnsi="Avenir"/>
          <w:color w:val="5a5a5a"/>
          <w:sz w:val="14"/>
          <w:szCs w:val="14"/>
          <w:rtl w:val="0"/>
        </w:rPr>
        <w:t xml:space="preserve">revolution, </w:t>
      </w:r>
      <w:r w:rsidDel="00000000" w:rsidR="00000000" w:rsidRPr="00000000">
        <w:rPr>
          <w:rFonts w:ascii="Avenir" w:cs="Avenir" w:eastAsia="Avenir" w:hAnsi="Avenir"/>
          <w:color w:val="5a5a5a"/>
          <w:sz w:val="14"/>
          <w:szCs w:val="14"/>
          <w:rtl w:val="0"/>
        </w:rPr>
        <w:t xml:space="preserve">intelligence, rather than mechanization, serves as a primary accelerator. As i</w:t>
      </w:r>
      <w:r w:rsidDel="00000000" w:rsidR="00000000" w:rsidRPr="00000000">
        <w:rPr>
          <w:rFonts w:ascii="Avenir" w:cs="Avenir" w:eastAsia="Avenir" w:hAnsi="Avenir"/>
          <w:color w:val="5a5a5a"/>
          <w:sz w:val="14"/>
          <w:szCs w:val="14"/>
          <w:rtl w:val="0"/>
        </w:rPr>
        <w:t xml:space="preserve">ndustrial AI increasingly extends beyond task automation, it is fundamentally reforming the valuation of physical capital, the organization of production, and the foundations of competitive advantage.</w:t>
      </w: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5a5a5a"/>
          <w:sz w:val="14"/>
          <w:szCs w:val="14"/>
        </w:rPr>
      </w:pPr>
      <w:r w:rsidDel="00000000" w:rsidR="00000000" w:rsidRPr="00000000">
        <w:rPr>
          <w:rtl w:val="0"/>
        </w:rPr>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5a5a5a"/>
          <w:sz w:val="14"/>
          <w:szCs w:val="14"/>
        </w:rPr>
      </w:pPr>
      <w:r w:rsidDel="00000000" w:rsidR="00000000" w:rsidRPr="00000000">
        <w:rPr>
          <w:rFonts w:ascii="Avenir" w:cs="Avenir" w:eastAsia="Avenir" w:hAnsi="Avenir"/>
          <w:color w:val="5a5a5a"/>
          <w:sz w:val="14"/>
          <w:szCs w:val="14"/>
          <w:rtl w:val="0"/>
        </w:rPr>
        <w:t xml:space="preserve">Historically, manufacturing value resided in physical assets, machinery, inventory, and labor. Now it increasingly depends on data, software, and the ability to act on both in a meaningful timeframe [17]. This shift is accompanied by multiple interconnected forces that are </w:t>
      </w:r>
      <w:r w:rsidDel="00000000" w:rsidR="00000000" w:rsidRPr="00000000">
        <w:rPr>
          <w:rFonts w:ascii="Avenir" w:cs="Avenir" w:eastAsia="Avenir" w:hAnsi="Avenir"/>
          <w:color w:val="5a5a5a"/>
          <w:sz w:val="14"/>
          <w:szCs w:val="14"/>
          <w:rtl w:val="0"/>
        </w:rPr>
        <w:t xml:space="preserve">reshaping</w:t>
      </w:r>
      <w:r w:rsidDel="00000000" w:rsidR="00000000" w:rsidRPr="00000000">
        <w:rPr>
          <w:rFonts w:ascii="Avenir" w:cs="Avenir" w:eastAsia="Avenir" w:hAnsi="Avenir"/>
          <w:color w:val="5a5a5a"/>
          <w:sz w:val="14"/>
          <w:szCs w:val="14"/>
          <w:rtl w:val="0"/>
        </w:rPr>
        <w:t xml:space="preserve"> the economics of industrial production. Operational data captured by machine sensors and controllers was once a mere byproduct of production, but is now undergoing an economic reclassification </w:t>
      </w:r>
      <w:r w:rsidDel="00000000" w:rsidR="00000000" w:rsidRPr="00000000">
        <w:rPr>
          <w:rFonts w:ascii="Avenir" w:cs="Avenir" w:eastAsia="Avenir" w:hAnsi="Avenir"/>
          <w:color w:val="5a5a5a"/>
          <w:sz w:val="14"/>
          <w:szCs w:val="14"/>
          <w:rtl w:val="0"/>
        </w:rPr>
        <w:t xml:space="preserve">[1,2]</w:t>
      </w:r>
      <w:r w:rsidDel="00000000" w:rsidR="00000000" w:rsidRPr="00000000">
        <w:rPr>
          <w:rFonts w:ascii="Avenir" w:cs="Avenir" w:eastAsia="Avenir" w:hAnsi="Avenir"/>
          <w:color w:val="5a5a5a"/>
          <w:sz w:val="14"/>
          <w:szCs w:val="14"/>
          <w:rtl w:val="0"/>
        </w:rPr>
        <w:t xml:space="preserve">.</w:t>
      </w:r>
      <w:r w:rsidDel="00000000" w:rsidR="00000000" w:rsidRPr="00000000">
        <w:rPr>
          <w:rFonts w:ascii="Avenir" w:cs="Avenir" w:eastAsia="Avenir" w:hAnsi="Avenir"/>
          <w:color w:val="5a5a5a"/>
          <w:sz w:val="14"/>
          <w:szCs w:val="14"/>
          <w:rtl w:val="0"/>
        </w:rPr>
        <w:t xml:space="preserve"> Such data is increasingly</w:t>
      </w:r>
      <w:r w:rsidDel="00000000" w:rsidR="00000000" w:rsidRPr="00000000">
        <w:rPr>
          <w:rFonts w:ascii="Avenir" w:cs="Avenir" w:eastAsia="Avenir" w:hAnsi="Avenir"/>
          <w:color w:val="5a5a5a"/>
          <w:sz w:val="14"/>
          <w:szCs w:val="14"/>
          <w:rtl w:val="0"/>
        </w:rPr>
        <w:t xml:space="preserve"> recognized as an intangible asset [3], with the industrial</w:t>
      </w:r>
      <w:r w:rsidDel="00000000" w:rsidR="00000000" w:rsidRPr="00000000">
        <w:rPr>
          <w:rFonts w:ascii="Avenir" w:cs="Avenir" w:eastAsia="Avenir" w:hAnsi="Avenir"/>
          <w:color w:val="5a5a5a"/>
          <w:sz w:val="14"/>
          <w:szCs w:val="14"/>
          <w:rtl w:val="0"/>
        </w:rPr>
        <w:t xml:space="preserve"> data management market projected to grow </w:t>
      </w:r>
      <w:r w:rsidDel="00000000" w:rsidR="00000000" w:rsidRPr="00000000">
        <w:rPr>
          <w:rFonts w:ascii="Avenir" w:cs="Avenir" w:eastAsia="Avenir" w:hAnsi="Avenir"/>
          <w:color w:val="5a5a5a"/>
          <w:sz w:val="14"/>
          <w:szCs w:val="14"/>
          <w:rtl w:val="0"/>
        </w:rPr>
        <w:t xml:space="preserve">by 103% to 213B USD between 2025 and 2030 [4]. Simultaneously, regulatory developments such as the EU Data Act are dismantling proprietary data barriers and shifting competitive advantage from data ownership to analytical capability [18].</w:t>
      </w:r>
      <w:r w:rsidDel="00000000" w:rsidR="00000000" w:rsidRPr="00000000">
        <w:rPr>
          <w:rtl w:val="0"/>
        </w:rPr>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5a5a5a"/>
          <w:sz w:val="14"/>
          <w:szCs w:val="14"/>
        </w:rPr>
      </w:pPr>
      <w:r w:rsidDel="00000000" w:rsidR="00000000" w:rsidRPr="00000000">
        <w:rPr>
          <w:rtl w:val="0"/>
        </w:rPr>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5a5a5a"/>
          <w:sz w:val="14"/>
          <w:szCs w:val="14"/>
        </w:rPr>
      </w:pPr>
      <w:r w:rsidDel="00000000" w:rsidR="00000000" w:rsidRPr="00000000">
        <w:rPr>
          <w:rFonts w:ascii="Avenir" w:cs="Avenir" w:eastAsia="Avenir" w:hAnsi="Avenir"/>
          <w:color w:val="5a5a5a"/>
          <w:sz w:val="14"/>
          <w:szCs w:val="14"/>
          <w:rtl w:val="0"/>
        </w:rPr>
        <w:t xml:space="preserve">This shift further solidifies in the financialization of industrial assets. </w:t>
      </w:r>
      <w:r w:rsidDel="00000000" w:rsidR="00000000" w:rsidRPr="00000000">
        <w:rPr>
          <w:rFonts w:ascii="Avenir" w:cs="Avenir" w:eastAsia="Avenir" w:hAnsi="Avenir"/>
          <w:color w:val="5a5a5a"/>
          <w:sz w:val="14"/>
          <w:szCs w:val="14"/>
          <w:rtl w:val="0"/>
        </w:rPr>
        <w:t xml:space="preserve">Specifically</w:t>
      </w:r>
      <w:r w:rsidDel="00000000" w:rsidR="00000000" w:rsidRPr="00000000">
        <w:rPr>
          <w:rFonts w:ascii="Avenir" w:cs="Avenir" w:eastAsia="Avenir" w:hAnsi="Avenir"/>
          <w:color w:val="5a5a5a"/>
          <w:sz w:val="14"/>
          <w:szCs w:val="14"/>
          <w:rtl w:val="0"/>
        </w:rPr>
        <w:t xml:space="preserve">, b</w:t>
      </w:r>
      <w:r w:rsidDel="00000000" w:rsidR="00000000" w:rsidRPr="00000000">
        <w:rPr>
          <w:rFonts w:ascii="Avenir" w:cs="Avenir" w:eastAsia="Avenir" w:hAnsi="Avenir"/>
          <w:color w:val="5a5a5a"/>
          <w:sz w:val="14"/>
          <w:szCs w:val="14"/>
          <w:rtl w:val="0"/>
        </w:rPr>
        <w:t xml:space="preserve">lockchain-based tokenization is beginning to transform factory equipment into tradable financial instruments. In a sector that has been encountering up to 20-30% illiquidity premiums in the past, this development may unlock much-needed liquidity [5,6]. Servitization, defined as the shift from selling equipment to guaranteeing performance outcomes, repositions industrial firms as service providers. In this context, AI enables remote performance guarantees, making these business models commercially feasible [7,8]. Potential profit margins for service-oriented manufacturers already surpass those of traditional equipment sales by more than twofold [7].</w:t>
      </w:r>
      <w:r w:rsidDel="00000000" w:rsidR="00000000" w:rsidRPr="00000000">
        <w:rPr>
          <w:rtl w:val="0"/>
        </w:rPr>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5a5a5a"/>
          <w:sz w:val="14"/>
          <w:szCs w:val="14"/>
        </w:rPr>
      </w:pPr>
      <w:r w:rsidDel="00000000" w:rsidR="00000000" w:rsidRPr="00000000">
        <w:rPr>
          <w:rtl w:val="0"/>
        </w:rPr>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5a5a5a"/>
          <w:sz w:val="14"/>
          <w:szCs w:val="14"/>
        </w:rPr>
      </w:pPr>
      <w:r w:rsidDel="00000000" w:rsidR="00000000" w:rsidRPr="00000000">
        <w:rPr>
          <w:rFonts w:ascii="Avenir" w:cs="Avenir" w:eastAsia="Avenir" w:hAnsi="Avenir"/>
          <w:color w:val="5a5a5a"/>
          <w:sz w:val="14"/>
          <w:szCs w:val="14"/>
          <w:rtl w:val="0"/>
        </w:rPr>
        <w:t xml:space="preserve">While these developments reshape what factories produce and how they generate revenue, geopolitical instability and advances in physical AI are simultaneously reorganizing where production takes place [9].</w:t>
      </w:r>
      <w:r w:rsidDel="00000000" w:rsidR="00000000" w:rsidRPr="00000000">
        <w:rPr>
          <w:rFonts w:ascii="Avenir" w:cs="Avenir" w:eastAsia="Avenir" w:hAnsi="Avenir"/>
          <w:color w:val="5a5a5a"/>
          <w:sz w:val="14"/>
          <w:szCs w:val="14"/>
          <w:rtl w:val="0"/>
        </w:rPr>
        <w:t xml:space="preserve"> </w:t>
      </w:r>
      <w:r w:rsidDel="00000000" w:rsidR="00000000" w:rsidRPr="00000000">
        <w:rPr>
          <w:rFonts w:ascii="Avenir" w:cs="Avenir" w:eastAsia="Avenir" w:hAnsi="Avenir"/>
          <w:color w:val="5a5a5a"/>
          <w:sz w:val="14"/>
          <w:szCs w:val="14"/>
          <w:rtl w:val="0"/>
        </w:rPr>
        <w:t xml:space="preserve">Distributed and modular manufacturing systems are on the rise as reshoring becomes economically feasible through optimization of resilience rather than scale alone [10].</w:t>
      </w:r>
      <w:r w:rsidDel="00000000" w:rsidR="00000000" w:rsidRPr="00000000">
        <w:rPr>
          <w:rtl w:val="0"/>
        </w:rPr>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5a5a5a"/>
          <w:sz w:val="14"/>
          <w:szCs w:val="14"/>
        </w:rPr>
      </w:pPr>
      <w:r w:rsidDel="00000000" w:rsidR="00000000" w:rsidRPr="00000000">
        <w:rPr>
          <w:rtl w:val="0"/>
        </w:rPr>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5a5a5a"/>
          <w:sz w:val="14"/>
          <w:szCs w:val="14"/>
        </w:rPr>
      </w:pPr>
      <w:r w:rsidDel="00000000" w:rsidR="00000000" w:rsidRPr="00000000">
        <w:rPr>
          <w:rFonts w:ascii="Avenir" w:cs="Avenir" w:eastAsia="Avenir" w:hAnsi="Avenir"/>
          <w:color w:val="5a5a5a"/>
          <w:sz w:val="14"/>
          <w:szCs w:val="14"/>
          <w:rtl w:val="0"/>
        </w:rPr>
        <w:t xml:space="preserve">Finally, the labor market itself is undergoing significant restructuring. As AI automates routine tasks, critical skills concentrate among more expensive and technically specialized workers, intensifying the stakes of labor transfer [11,12,13]. Currently, the training firm bears the cost of workforce development, while outside firms capture the value by recruiting workers they did not invest in [14].</w:t>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5a5a5a"/>
          <w:sz w:val="14"/>
          <w:szCs w:val="14"/>
        </w:rPr>
      </w:pPr>
      <w:r w:rsidDel="00000000" w:rsidR="00000000" w:rsidRPr="00000000">
        <w:rPr>
          <w:rtl w:val="0"/>
        </w:rPr>
      </w:r>
    </w:p>
    <w:p w:rsidR="00000000" w:rsidDel="00000000" w:rsidP="00000000" w:rsidRDefault="00000000" w:rsidRPr="00000000" w14:paraId="0000000D">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5a5a5a"/>
          <w:sz w:val="14"/>
          <w:szCs w:val="14"/>
        </w:rPr>
      </w:pPr>
      <w:r w:rsidDel="00000000" w:rsidR="00000000" w:rsidRPr="00000000">
        <w:rPr>
          <w:rFonts w:ascii="Avenir" w:cs="Avenir" w:eastAsia="Avenir" w:hAnsi="Avenir"/>
          <w:color w:val="5a5a5a"/>
          <w:sz w:val="14"/>
          <w:szCs w:val="14"/>
          <w:rtl w:val="0"/>
        </w:rPr>
        <w:t xml:space="preserve">The </w:t>
      </w:r>
      <w:r w:rsidDel="00000000" w:rsidR="00000000" w:rsidRPr="00000000">
        <w:rPr>
          <w:rFonts w:ascii="Avenir" w:cs="Avenir" w:eastAsia="Avenir" w:hAnsi="Avenir"/>
          <w:color w:val="5a5a5a"/>
          <w:sz w:val="14"/>
          <w:szCs w:val="14"/>
          <w:rtl w:val="0"/>
        </w:rPr>
        <w:t xml:space="preserve">underlying logic uniting these developments is that factories are evolving into financial instruments [15]. The quality of a factory’s data infrastructure will determine both operational performance and economic value [16]. Organizations that recognize this shift early and invest strategically may be positioned to amplify their competitive advantage across all dimensions of industrial competition.</w:t>
      </w:r>
      <w:r w:rsidDel="00000000" w:rsidR="00000000" w:rsidRPr="00000000">
        <w:rPr>
          <w:rtl w:val="0"/>
        </w:rPr>
      </w:r>
    </w:p>
    <w:p w:rsidR="00000000" w:rsidDel="00000000" w:rsidP="00000000" w:rsidRDefault="00000000" w:rsidRPr="00000000" w14:paraId="0000000E">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5a5a5a"/>
          <w:sz w:val="14"/>
          <w:szCs w:val="14"/>
        </w:rPr>
      </w:pPr>
      <w:r w:rsidDel="00000000" w:rsidR="00000000" w:rsidRPr="00000000">
        <w:rPr>
          <w:rtl w:val="0"/>
        </w:rPr>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4"/>
          <w:szCs w:val="14"/>
        </w:rPr>
      </w:pPr>
      <w:r w:rsidDel="00000000" w:rsidR="00000000" w:rsidRPr="00000000">
        <w:rPr>
          <w:rtl w:val="0"/>
        </w:rPr>
      </w:r>
    </w:p>
    <w:p w:rsidR="00000000" w:rsidDel="00000000" w:rsidP="00000000" w:rsidRDefault="00000000" w:rsidRPr="00000000" w14:paraId="00000010">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5a5a5a"/>
          <w:sz w:val="14"/>
          <w:szCs w:val="14"/>
        </w:rPr>
      </w:pPr>
      <w:r w:rsidDel="00000000" w:rsidR="00000000" w:rsidRPr="00000000">
        <w:rPr>
          <w:rFonts w:ascii="Avenir" w:cs="Avenir" w:eastAsia="Avenir" w:hAnsi="Avenir"/>
          <w:color w:val="5a5a5a"/>
          <w:sz w:val="14"/>
          <w:szCs w:val="14"/>
          <w:rtl w:val="0"/>
        </w:rPr>
        <w:t xml:space="preserve">References</w:t>
      </w:r>
      <w:r w:rsidDel="00000000" w:rsidR="00000000" w:rsidRPr="00000000">
        <w:rPr>
          <w:rFonts w:ascii="Avenir" w:cs="Avenir" w:eastAsia="Avenir" w:hAnsi="Avenir"/>
          <w:color w:val="5a5a5a"/>
          <w:sz w:val="14"/>
          <w:szCs w:val="14"/>
          <w:rtl w:val="0"/>
        </w:rPr>
        <w:t xml:space="preserve">:</w:t>
      </w:r>
      <w:r w:rsidDel="00000000" w:rsidR="00000000" w:rsidRPr="00000000">
        <w:rPr>
          <w:rtl w:val="0"/>
        </w:rPr>
      </w:r>
    </w:p>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5a5a5a"/>
          <w:sz w:val="14"/>
          <w:szCs w:val="14"/>
        </w:rPr>
      </w:pPr>
      <w:r w:rsidDel="00000000" w:rsidR="00000000" w:rsidRPr="00000000">
        <w:rPr>
          <w:rtl w:val="0"/>
        </w:rPr>
      </w:r>
    </w:p>
    <w:p w:rsidR="00000000" w:rsidDel="00000000" w:rsidP="00000000" w:rsidRDefault="00000000" w:rsidRPr="00000000" w14:paraId="00000012">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5a5a5a"/>
          <w:sz w:val="14"/>
          <w:szCs w:val="14"/>
        </w:rPr>
      </w:pPr>
      <w:r w:rsidDel="00000000" w:rsidR="00000000" w:rsidRPr="00000000">
        <w:rPr>
          <w:rFonts w:ascii="Avenir" w:cs="Avenir" w:eastAsia="Avenir" w:hAnsi="Avenir"/>
          <w:color w:val="5a5a5a"/>
          <w:sz w:val="14"/>
          <w:szCs w:val="14"/>
          <w:rtl w:val="0"/>
        </w:rPr>
        <w:t xml:space="preserve">Veldkamp L. Valuing Data as an Asset. Review of Finance. 2023;27(5):1545-1562. doi:10.1093/rof/rfac073</w:t>
      </w:r>
    </w:p>
    <w:p w:rsidR="00000000" w:rsidDel="00000000" w:rsidP="00000000" w:rsidRDefault="00000000" w:rsidRPr="00000000" w14:paraId="00000013">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5a5a5a"/>
          <w:sz w:val="14"/>
          <w:szCs w:val="14"/>
        </w:rPr>
      </w:pPr>
      <w:r w:rsidDel="00000000" w:rsidR="00000000" w:rsidRPr="00000000">
        <w:rPr>
          <w:rFonts w:ascii="Avenir" w:cs="Avenir" w:eastAsia="Avenir" w:hAnsi="Avenir"/>
          <w:color w:val="5a5a5a"/>
          <w:sz w:val="14"/>
          <w:szCs w:val="14"/>
          <w:rtl w:val="0"/>
        </w:rPr>
        <w:t xml:space="preserve">Valuing data assets can be key to unlocking board-level support for data modernization and transformation. Deloitte Insights. Accessed March 8, 2026. </w:t>
      </w:r>
      <w:hyperlink r:id="rId6">
        <w:r w:rsidDel="00000000" w:rsidR="00000000" w:rsidRPr="00000000">
          <w:rPr>
            <w:rFonts w:ascii="Avenir" w:cs="Avenir" w:eastAsia="Avenir" w:hAnsi="Avenir"/>
            <w:color w:val="0000ff"/>
            <w:sz w:val="14"/>
            <w:szCs w:val="14"/>
            <w:u w:val="single"/>
            <w:rtl w:val="0"/>
          </w:rPr>
          <w:t xml:space="preserve">https://www.deloitte.com/us/en/insights/topics/digital-transformation/valuing-data-assets.html</w:t>
        </w:r>
      </w:hyperlink>
      <w:r w:rsidDel="00000000" w:rsidR="00000000" w:rsidRPr="00000000">
        <w:rPr>
          <w:rtl w:val="0"/>
        </w:rPr>
      </w:r>
    </w:p>
    <w:p w:rsidR="00000000" w:rsidDel="00000000" w:rsidP="00000000" w:rsidRDefault="00000000" w:rsidRPr="00000000" w14:paraId="00000014">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5a5a5a"/>
          <w:sz w:val="14"/>
          <w:szCs w:val="14"/>
          <w:u w:val="none"/>
        </w:rPr>
      </w:pPr>
      <w:r w:rsidDel="00000000" w:rsidR="00000000" w:rsidRPr="00000000">
        <w:rPr>
          <w:rFonts w:ascii="Avenir" w:cs="Avenir" w:eastAsia="Avenir" w:hAnsi="Avenir"/>
          <w:color w:val="5a5a5a"/>
          <w:sz w:val="14"/>
          <w:szCs w:val="14"/>
          <w:rtl w:val="0"/>
        </w:rPr>
        <w:t xml:space="preserve">OECD. Measuring data as an asset. OECD Econ Dep Work Pap. 2022. doi:10.1787/b840fb01-en.</w:t>
      </w:r>
    </w:p>
    <w:p w:rsidR="00000000" w:rsidDel="00000000" w:rsidP="00000000" w:rsidRDefault="00000000" w:rsidRPr="00000000" w14:paraId="00000015">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5a5a5a"/>
          <w:sz w:val="14"/>
          <w:szCs w:val="14"/>
        </w:rPr>
      </w:pPr>
      <w:r w:rsidDel="00000000" w:rsidR="00000000" w:rsidRPr="00000000">
        <w:rPr>
          <w:rFonts w:ascii="Avenir" w:cs="Avenir" w:eastAsia="Avenir" w:hAnsi="Avenir"/>
          <w:color w:val="5a5a5a"/>
          <w:sz w:val="14"/>
          <w:szCs w:val="14"/>
          <w:rtl w:val="0"/>
        </w:rPr>
        <w:t xml:space="preserve">Industrial Data Management Market Size, Share, Trends and Growth Drivers 2030. Markets and Markets; 2025. Accessed March 3, 2026. </w:t>
      </w:r>
      <w:hyperlink r:id="rId7">
        <w:r w:rsidDel="00000000" w:rsidR="00000000" w:rsidRPr="00000000">
          <w:rPr>
            <w:rFonts w:ascii="Avenir" w:cs="Avenir" w:eastAsia="Avenir" w:hAnsi="Avenir"/>
            <w:color w:val="0000ff"/>
            <w:sz w:val="14"/>
            <w:szCs w:val="14"/>
            <w:u w:val="single"/>
            <w:rtl w:val="0"/>
          </w:rPr>
          <w:t xml:space="preserve">https://www.marketsandmarkets.com/Market-Reports/industrial-data-management-market-150678178.htm</w:t>
        </w:r>
      </w:hyperlink>
      <w:r w:rsidDel="00000000" w:rsidR="00000000" w:rsidRPr="00000000">
        <w:rPr>
          <w:rFonts w:ascii="Avenir" w:cs="Avenir" w:eastAsia="Avenir" w:hAnsi="Avenir"/>
          <w:color w:val="0000ff"/>
          <w:sz w:val="14"/>
          <w:szCs w:val="14"/>
          <w:u w:val="single"/>
          <w:rtl w:val="0"/>
        </w:rPr>
        <w:t xml:space="preserve">l</w:t>
      </w:r>
      <w:r w:rsidDel="00000000" w:rsidR="00000000" w:rsidRPr="00000000">
        <w:rPr>
          <w:rtl w:val="0"/>
        </w:rPr>
      </w:r>
    </w:p>
    <w:p w:rsidR="00000000" w:rsidDel="00000000" w:rsidP="00000000" w:rsidRDefault="00000000" w:rsidRPr="00000000" w14:paraId="00000016">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5a5a5a"/>
          <w:sz w:val="14"/>
          <w:szCs w:val="14"/>
        </w:rPr>
      </w:pPr>
      <w:r w:rsidDel="00000000" w:rsidR="00000000" w:rsidRPr="00000000">
        <w:rPr>
          <w:rFonts w:ascii="Avenir" w:cs="Avenir" w:eastAsia="Avenir" w:hAnsi="Avenir"/>
          <w:color w:val="5a5a5a"/>
          <w:sz w:val="14"/>
          <w:szCs w:val="14"/>
          <w:rtl w:val="0"/>
        </w:rPr>
        <w:t xml:space="preserve">Damodaran A. Marketability and Value: Measuring the Illiquidity Discount. SSRN Journal. Published online 2005. doi:10.2139/ssrn.841484 [5]</w:t>
      </w:r>
    </w:p>
    <w:p w:rsidR="00000000" w:rsidDel="00000000" w:rsidP="00000000" w:rsidRDefault="00000000" w:rsidRPr="00000000" w14:paraId="00000017">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5a5a5a"/>
          <w:sz w:val="14"/>
          <w:szCs w:val="14"/>
        </w:rPr>
      </w:pPr>
      <w:r w:rsidDel="00000000" w:rsidR="00000000" w:rsidRPr="00000000">
        <w:rPr>
          <w:rFonts w:ascii="Avenir" w:cs="Avenir" w:eastAsia="Avenir" w:hAnsi="Avenir"/>
          <w:color w:val="5a5a5a"/>
          <w:sz w:val="14"/>
          <w:szCs w:val="14"/>
          <w:rtl w:val="0"/>
        </w:rPr>
        <w:t xml:space="preserve">Samaties P, Steger S, Maus S, Biesaga A. Tokenization of Real-World Assets. Unlocking a New Era of Ownership, Trading, and Investment. Roland Berger; 2023. Accessed March 3, 2026. </w:t>
      </w:r>
      <w:hyperlink r:id="rId8">
        <w:r w:rsidDel="00000000" w:rsidR="00000000" w:rsidRPr="00000000">
          <w:rPr>
            <w:rFonts w:ascii="Avenir" w:cs="Avenir" w:eastAsia="Avenir" w:hAnsi="Avenir"/>
            <w:color w:val="0000ff"/>
            <w:sz w:val="14"/>
            <w:szCs w:val="14"/>
            <w:u w:val="single"/>
            <w:rtl w:val="0"/>
          </w:rPr>
          <w:t xml:space="preserve">https://www.rolandberger.com/en/Insights/Publications/Tokenization-of-real-world-assets-unlocking-a-new-era-of-ownership-trading.html</w:t>
        </w:r>
      </w:hyperlink>
      <w:r w:rsidDel="00000000" w:rsidR="00000000" w:rsidRPr="00000000">
        <w:rPr>
          <w:rtl w:val="0"/>
        </w:rPr>
      </w:r>
    </w:p>
    <w:p w:rsidR="00000000" w:rsidDel="00000000" w:rsidP="00000000" w:rsidRDefault="00000000" w:rsidRPr="00000000" w14:paraId="00000018">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5a5a5a"/>
          <w:sz w:val="14"/>
          <w:szCs w:val="14"/>
        </w:rPr>
      </w:pPr>
      <w:r w:rsidDel="00000000" w:rsidR="00000000" w:rsidRPr="00000000">
        <w:rPr>
          <w:rFonts w:ascii="Avenir" w:cs="Avenir" w:eastAsia="Avenir" w:hAnsi="Avenir"/>
          <w:color w:val="5a5a5a"/>
          <w:sz w:val="14"/>
          <w:szCs w:val="14"/>
          <w:rtl w:val="0"/>
        </w:rPr>
        <w:t xml:space="preserve">Deloitte. 2026 Manufacturing Industry Outlook. Deloitte Insights. Published November 2025. Accessed March 2, 2026. </w:t>
      </w:r>
      <w:hyperlink r:id="rId9">
        <w:r w:rsidDel="00000000" w:rsidR="00000000" w:rsidRPr="00000000">
          <w:rPr>
            <w:rFonts w:ascii="Avenir" w:cs="Avenir" w:eastAsia="Avenir" w:hAnsi="Avenir"/>
            <w:color w:val="0000ff"/>
            <w:sz w:val="14"/>
            <w:szCs w:val="14"/>
            <w:u w:val="single"/>
            <w:rtl w:val="0"/>
          </w:rPr>
          <w:t xml:space="preserve">https://www.deloitte.com/us/en/insights/industry/manufacturing-industrial-products/manufacturing-industry-outlook.html</w:t>
        </w:r>
      </w:hyperlink>
      <w:r w:rsidDel="00000000" w:rsidR="00000000" w:rsidRPr="00000000">
        <w:rPr>
          <w:rtl w:val="0"/>
        </w:rPr>
      </w:r>
    </w:p>
    <w:p w:rsidR="00000000" w:rsidDel="00000000" w:rsidP="00000000" w:rsidRDefault="00000000" w:rsidRPr="00000000" w14:paraId="00000019">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5a5a5a"/>
          <w:sz w:val="14"/>
          <w:szCs w:val="14"/>
        </w:rPr>
      </w:pPr>
      <w:r w:rsidDel="00000000" w:rsidR="00000000" w:rsidRPr="00000000">
        <w:rPr>
          <w:rFonts w:ascii="Avenir" w:cs="Avenir" w:eastAsia="Avenir" w:hAnsi="Avenir"/>
          <w:color w:val="5a5a5a"/>
          <w:sz w:val="14"/>
          <w:szCs w:val="14"/>
          <w:rtl w:val="0"/>
        </w:rPr>
        <w:t xml:space="preserve">Bustinza OF, Molina LM, Vendrell-Herrero F, Opazo-Basaez M. AI-enabled smart manufacturing boosts ecosystem value capture. International Journal of Production Economics. 2024;277:109387. </w:t>
      </w:r>
      <w:r w:rsidDel="00000000" w:rsidR="00000000" w:rsidRPr="00000000">
        <w:rPr>
          <w:rFonts w:ascii="Avenir" w:cs="Avenir" w:eastAsia="Avenir" w:hAnsi="Avenir"/>
          <w:color w:val="5a5a5a"/>
          <w:sz w:val="14"/>
          <w:szCs w:val="14"/>
          <w:rtl w:val="0"/>
        </w:rPr>
        <w:t xml:space="preserve">doi:10.1016/j.ijpe.2024.109411</w:t>
      </w:r>
    </w:p>
    <w:p w:rsidR="00000000" w:rsidDel="00000000" w:rsidP="00000000" w:rsidRDefault="00000000" w:rsidRPr="00000000" w14:paraId="0000001A">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line="240" w:lineRule="auto"/>
        <w:ind w:left="720" w:hanging="360"/>
        <w:rPr>
          <w:rFonts w:ascii="Avenir" w:cs="Avenir" w:eastAsia="Avenir" w:hAnsi="Avenir"/>
          <w:color w:val="5a5a5a"/>
          <w:sz w:val="14"/>
          <w:szCs w:val="14"/>
        </w:rPr>
      </w:pPr>
      <w:r w:rsidDel="00000000" w:rsidR="00000000" w:rsidRPr="00000000">
        <w:rPr>
          <w:rFonts w:ascii="Avenir" w:cs="Avenir" w:eastAsia="Avenir" w:hAnsi="Avenir"/>
          <w:color w:val="5a5a5a"/>
          <w:sz w:val="14"/>
          <w:szCs w:val="14"/>
          <w:rtl w:val="0"/>
        </w:rPr>
        <w:t xml:space="preserve">World Economic Forum. How technological advances are strengthening supply chains. Published January 2024. Accessed March 2, 2026. </w:t>
      </w:r>
      <w:hyperlink r:id="rId10">
        <w:r w:rsidDel="00000000" w:rsidR="00000000" w:rsidRPr="00000000">
          <w:rPr>
            <w:rFonts w:ascii="Avenir" w:cs="Avenir" w:eastAsia="Avenir" w:hAnsi="Avenir"/>
            <w:color w:val="1155cc"/>
            <w:sz w:val="14"/>
            <w:szCs w:val="14"/>
            <w:u w:val="single"/>
            <w:rtl w:val="0"/>
          </w:rPr>
          <w:t xml:space="preserve">https://www.weforum.org/stories/2024/01/how-technological-advances-like-ai-are-strengthening-supply-chains/</w:t>
        </w:r>
      </w:hyperlink>
      <w:r w:rsidDel="00000000" w:rsidR="00000000" w:rsidRPr="00000000">
        <w:rPr>
          <w:rtl w:val="0"/>
        </w:rPr>
      </w:r>
    </w:p>
    <w:p w:rsidR="00000000" w:rsidDel="00000000" w:rsidP="00000000" w:rsidRDefault="00000000" w:rsidRPr="00000000" w14:paraId="0000001B">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line="240" w:lineRule="auto"/>
        <w:ind w:left="720" w:hanging="360"/>
        <w:rPr>
          <w:rFonts w:ascii="Avenir" w:cs="Avenir" w:eastAsia="Avenir" w:hAnsi="Avenir"/>
          <w:color w:val="5a5a5a"/>
          <w:sz w:val="14"/>
          <w:szCs w:val="14"/>
        </w:rPr>
      </w:pPr>
      <w:r w:rsidDel="00000000" w:rsidR="00000000" w:rsidRPr="00000000">
        <w:rPr>
          <w:rFonts w:ascii="Avenir" w:cs="Avenir" w:eastAsia="Avenir" w:hAnsi="Avenir"/>
          <w:color w:val="5a5a5a"/>
          <w:sz w:val="14"/>
          <w:szCs w:val="14"/>
          <w:rtl w:val="0"/>
        </w:rPr>
        <w:t xml:space="preserve">Hempel L, Conway M, Doheny M, Singhal S. Decoding disruption to reshape manufacturing footprints. McKinsey. Published January 8, 2026. Accessed March 31, 2026. </w:t>
      </w:r>
      <w:hyperlink r:id="rId11">
        <w:r w:rsidDel="00000000" w:rsidR="00000000" w:rsidRPr="00000000">
          <w:rPr>
            <w:rFonts w:ascii="Avenir" w:cs="Avenir" w:eastAsia="Avenir" w:hAnsi="Avenir"/>
            <w:color w:val="1155cc"/>
            <w:sz w:val="14"/>
            <w:szCs w:val="14"/>
            <w:u w:val="single"/>
            <w:rtl w:val="0"/>
          </w:rPr>
          <w:t xml:space="preserve">https://www.mckinsey.com/capabilities/operations/our-insights/decoding-disruption-to-reshape-manufacturing-footprints</w:t>
        </w:r>
      </w:hyperlink>
      <w:r w:rsidDel="00000000" w:rsidR="00000000" w:rsidRPr="00000000">
        <w:rPr>
          <w:rtl w:val="0"/>
        </w:rPr>
      </w:r>
    </w:p>
    <w:p w:rsidR="00000000" w:rsidDel="00000000" w:rsidP="00000000" w:rsidRDefault="00000000" w:rsidRPr="00000000" w14:paraId="0000001C">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5a5a5a"/>
          <w:sz w:val="14"/>
          <w:szCs w:val="14"/>
        </w:rPr>
      </w:pPr>
      <w:r w:rsidDel="00000000" w:rsidR="00000000" w:rsidRPr="00000000">
        <w:rPr>
          <w:rFonts w:ascii="Avenir" w:cs="Avenir" w:eastAsia="Avenir" w:hAnsi="Avenir"/>
          <w:color w:val="5a5a5a"/>
          <w:sz w:val="14"/>
          <w:szCs w:val="14"/>
          <w:rtl w:val="0"/>
        </w:rPr>
        <w:t xml:space="preserve">National Academies of Sciences, Engineering, and Medicine. </w:t>
      </w:r>
      <w:r w:rsidDel="00000000" w:rsidR="00000000" w:rsidRPr="00000000">
        <w:rPr>
          <w:rFonts w:ascii="Avenir" w:cs="Avenir" w:eastAsia="Avenir" w:hAnsi="Avenir"/>
          <w:i w:val="1"/>
          <w:iCs w:val="1"/>
          <w:color w:val="5a5a5a"/>
          <w:sz w:val="14"/>
          <w:szCs w:val="14"/>
          <w:rtl w:val="0"/>
        </w:rPr>
        <w:t xml:space="preserve">Artificial Intelligence and the Future of Work</w:t>
      </w:r>
      <w:r w:rsidDel="00000000" w:rsidR="00000000" w:rsidRPr="00000000">
        <w:rPr>
          <w:rFonts w:ascii="Avenir" w:cs="Avenir" w:eastAsia="Avenir" w:hAnsi="Avenir"/>
          <w:color w:val="5a5a5a"/>
          <w:sz w:val="14"/>
          <w:szCs w:val="14"/>
          <w:rtl w:val="0"/>
        </w:rPr>
        <w:t xml:space="preserve">. Washington, DC: The National Academies Press; 2025. doi:10.17226/27644.</w:t>
      </w:r>
      <w:r w:rsidDel="00000000" w:rsidR="00000000" w:rsidRPr="00000000">
        <w:rPr>
          <w:rFonts w:ascii="Avenir" w:cs="Avenir" w:eastAsia="Avenir" w:hAnsi="Avenir"/>
          <w:color w:val="0000ff"/>
          <w:sz w:val="14"/>
          <w:szCs w:val="14"/>
          <w:u w:val="single"/>
          <w:rtl w:val="0"/>
        </w:rPr>
        <w:t xml:space="preserve"> </w:t>
      </w:r>
      <w:hyperlink r:id="rId12">
        <w:r w:rsidDel="00000000" w:rsidR="00000000" w:rsidRPr="00000000">
          <w:rPr>
            <w:rFonts w:ascii="Avenir" w:cs="Avenir" w:eastAsia="Avenir" w:hAnsi="Avenir"/>
            <w:color w:val="0000ff"/>
            <w:sz w:val="14"/>
            <w:szCs w:val="14"/>
            <w:u w:val="single"/>
            <w:rtl w:val="0"/>
          </w:rPr>
          <w:t xml:space="preserve">https://www.nationalacademies.org/read/27644</w:t>
        </w:r>
      </w:hyperlink>
      <w:r w:rsidDel="00000000" w:rsidR="00000000" w:rsidRPr="00000000">
        <w:rPr>
          <w:rtl w:val="0"/>
        </w:rPr>
      </w:r>
    </w:p>
    <w:p w:rsidR="00000000" w:rsidDel="00000000" w:rsidP="00000000" w:rsidRDefault="00000000" w:rsidRPr="00000000" w14:paraId="0000001D">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5a5a5a"/>
          <w:sz w:val="14"/>
          <w:szCs w:val="14"/>
          <w:u w:val="none"/>
        </w:rPr>
      </w:pPr>
      <w:r w:rsidDel="00000000" w:rsidR="00000000" w:rsidRPr="00000000">
        <w:rPr>
          <w:rFonts w:ascii="Avenir" w:cs="Avenir" w:eastAsia="Avenir" w:hAnsi="Avenir"/>
          <w:color w:val="5a5a5a"/>
          <w:sz w:val="14"/>
          <w:szCs w:val="14"/>
          <w:rtl w:val="0"/>
        </w:rPr>
        <w:t xml:space="preserve">Babina T, Fedyk A, He AX, Hodson J. Firm investments in artificial intelligence technologies and changes in workforce composition. In: </w:t>
      </w:r>
      <w:r w:rsidDel="00000000" w:rsidR="00000000" w:rsidRPr="00000000">
        <w:rPr>
          <w:rFonts w:ascii="Avenir" w:cs="Avenir" w:eastAsia="Avenir" w:hAnsi="Avenir"/>
          <w:i w:val="1"/>
          <w:iCs w:val="1"/>
          <w:color w:val="5a5a5a"/>
          <w:sz w:val="14"/>
          <w:szCs w:val="14"/>
          <w:rtl w:val="0"/>
        </w:rPr>
        <w:t xml:space="preserve">Technology, Productivity, and Economic Growth</w:t>
      </w:r>
      <w:r w:rsidDel="00000000" w:rsidR="00000000" w:rsidRPr="00000000">
        <w:rPr>
          <w:rFonts w:ascii="Avenir" w:cs="Avenir" w:eastAsia="Avenir" w:hAnsi="Avenir"/>
          <w:color w:val="5a5a5a"/>
          <w:sz w:val="14"/>
          <w:szCs w:val="14"/>
          <w:rtl w:val="0"/>
        </w:rPr>
        <w:t xml:space="preserve">. National Bureau of Economic Research; 2023:75-117. </w:t>
      </w:r>
      <w:r w:rsidDel="00000000" w:rsidR="00000000" w:rsidRPr="00000000">
        <w:rPr>
          <w:rFonts w:ascii="Avenir" w:cs="Avenir" w:eastAsia="Avenir" w:hAnsi="Avenir"/>
          <w:color w:val="5a5a5a"/>
          <w:sz w:val="14"/>
          <w:szCs w:val="14"/>
          <w:shd w:fill="f7f7f7" w:val="clear"/>
          <w:rtl w:val="0"/>
        </w:rPr>
        <w:t xml:space="preserve">https://doi.org/10.3386/w31325.</w:t>
      </w:r>
      <w:r w:rsidDel="00000000" w:rsidR="00000000" w:rsidRPr="00000000">
        <w:rPr>
          <w:rtl w:val="0"/>
        </w:rPr>
      </w:r>
    </w:p>
    <w:p w:rsidR="00000000" w:rsidDel="00000000" w:rsidP="00000000" w:rsidRDefault="00000000" w:rsidRPr="00000000" w14:paraId="0000001E">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5a5a5a"/>
          <w:sz w:val="14"/>
          <w:szCs w:val="14"/>
          <w:u w:val="none"/>
        </w:rPr>
      </w:pPr>
      <w:r w:rsidDel="00000000" w:rsidR="00000000" w:rsidRPr="00000000">
        <w:rPr>
          <w:rFonts w:ascii="Avenir" w:cs="Avenir" w:eastAsia="Avenir" w:hAnsi="Avenir"/>
          <w:color w:val="5a5a5a"/>
          <w:sz w:val="14"/>
          <w:szCs w:val="14"/>
          <w:rtl w:val="0"/>
        </w:rPr>
        <w:t xml:space="preserve">PwC. The Fearless Future: 2025 Global AI Jobs Barometer. PwC; 2025. Accessed April 1, 2026.</w:t>
      </w:r>
      <w:hyperlink r:id="rId13">
        <w:r w:rsidDel="00000000" w:rsidR="00000000" w:rsidRPr="00000000">
          <w:rPr>
            <w:rFonts w:ascii="Avenir" w:cs="Avenir" w:eastAsia="Avenir" w:hAnsi="Avenir"/>
            <w:color w:val="5a5a5a"/>
            <w:sz w:val="14"/>
            <w:szCs w:val="14"/>
            <w:rtl w:val="0"/>
          </w:rPr>
          <w:t xml:space="preserve"> </w:t>
        </w:r>
      </w:hyperlink>
      <w:hyperlink r:id="rId14">
        <w:r w:rsidDel="00000000" w:rsidR="00000000" w:rsidRPr="00000000">
          <w:rPr>
            <w:rFonts w:ascii="Avenir" w:cs="Avenir" w:eastAsia="Avenir" w:hAnsi="Avenir"/>
            <w:color w:val="1155cc"/>
            <w:sz w:val="14"/>
            <w:szCs w:val="14"/>
            <w:u w:val="single"/>
            <w:rtl w:val="0"/>
          </w:rPr>
          <w:t xml:space="preserve">https://www.pwc.com/gx/en/services/ai/ai-jobs-barometer.html</w:t>
        </w:r>
      </w:hyperlink>
      <w:r w:rsidDel="00000000" w:rsidR="00000000" w:rsidRPr="00000000">
        <w:rPr>
          <w:rtl w:val="0"/>
        </w:rPr>
      </w:r>
    </w:p>
    <w:p w:rsidR="00000000" w:rsidDel="00000000" w:rsidP="00000000" w:rsidRDefault="00000000" w:rsidRPr="00000000" w14:paraId="0000001F">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5a5a5a"/>
          <w:sz w:val="14"/>
          <w:szCs w:val="14"/>
        </w:rPr>
      </w:pPr>
      <w:r w:rsidDel="00000000" w:rsidR="00000000" w:rsidRPr="00000000">
        <w:rPr>
          <w:rFonts w:ascii="Avenir" w:cs="Avenir" w:eastAsia="Avenir" w:hAnsi="Avenir"/>
          <w:color w:val="5a5a5a"/>
          <w:sz w:val="14"/>
          <w:szCs w:val="14"/>
          <w:rtl w:val="0"/>
        </w:rPr>
        <w:t xml:space="preserve">Acemoglu D, Pischke J. Why do firms train? Theory and evidence. Q J Econ. 1998;113(1):79-119. doi:10.1162/003355398555531</w:t>
      </w:r>
    </w:p>
    <w:p w:rsidR="00000000" w:rsidDel="00000000" w:rsidP="00000000" w:rsidRDefault="00000000" w:rsidRPr="00000000" w14:paraId="00000020">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5a5a5a"/>
          <w:sz w:val="14"/>
          <w:szCs w:val="14"/>
          <w:u w:val="none"/>
        </w:rPr>
      </w:pPr>
      <w:r w:rsidDel="00000000" w:rsidR="00000000" w:rsidRPr="00000000">
        <w:rPr>
          <w:rFonts w:ascii="Avenir" w:cs="Avenir" w:eastAsia="Avenir" w:hAnsi="Avenir"/>
          <w:color w:val="5a5a5a"/>
          <w:sz w:val="14"/>
          <w:szCs w:val="14"/>
          <w:rtl w:val="0"/>
        </w:rPr>
        <w:t xml:space="preserve">Dong F, Doukas J. The role of intangible assets in shaping firm value. Eur Financ Manag. 2025;31(4):1325-1353. doi:10.1111/eufm.12547.</w:t>
      </w:r>
    </w:p>
    <w:p w:rsidR="00000000" w:rsidDel="00000000" w:rsidP="00000000" w:rsidRDefault="00000000" w:rsidRPr="00000000" w14:paraId="00000021">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5a5a5a"/>
          <w:sz w:val="14"/>
          <w:szCs w:val="14"/>
          <w:u w:val="none"/>
        </w:rPr>
      </w:pPr>
      <w:r w:rsidDel="00000000" w:rsidR="00000000" w:rsidRPr="00000000">
        <w:rPr>
          <w:rFonts w:ascii="Avenir" w:cs="Avenir" w:eastAsia="Avenir" w:hAnsi="Avenir"/>
          <w:color w:val="5a5a5a"/>
          <w:sz w:val="14"/>
          <w:szCs w:val="14"/>
          <w:rtl w:val="0"/>
        </w:rPr>
        <w:t xml:space="preserve">Xiong F, Xie M, Zhao L, Li C, Fan X. Recognition and evaluation of data as intangible assets. SAGE Open. 2022;12(2):1-12. doi:10.1177/21582440221094600.</w:t>
      </w:r>
    </w:p>
    <w:p w:rsidR="00000000" w:rsidDel="00000000" w:rsidP="00000000" w:rsidRDefault="00000000" w:rsidRPr="00000000" w14:paraId="00000022">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5a5a5a"/>
          <w:sz w:val="14"/>
          <w:szCs w:val="14"/>
          <w:u w:val="none"/>
        </w:rPr>
      </w:pPr>
      <w:r w:rsidDel="00000000" w:rsidR="00000000" w:rsidRPr="00000000">
        <w:rPr>
          <w:rFonts w:ascii="Avenir" w:cs="Avenir" w:eastAsia="Avenir" w:hAnsi="Avenir"/>
          <w:color w:val="5a5a5a"/>
          <w:sz w:val="14"/>
          <w:szCs w:val="14"/>
          <w:rtl w:val="0"/>
        </w:rPr>
        <w:t xml:space="preserve">Crouzet N, Eberly JC, Eisfeldt AL, Papanikolaou D. The economics of intangible capital. </w:t>
      </w:r>
      <w:r w:rsidDel="00000000" w:rsidR="00000000" w:rsidRPr="00000000">
        <w:rPr>
          <w:rFonts w:ascii="Avenir" w:cs="Avenir" w:eastAsia="Avenir" w:hAnsi="Avenir"/>
          <w:i w:val="1"/>
          <w:iCs w:val="1"/>
          <w:color w:val="5a5a5a"/>
          <w:sz w:val="14"/>
          <w:szCs w:val="14"/>
          <w:rtl w:val="0"/>
        </w:rPr>
        <w:t xml:space="preserve">J Econ Perspect</w:t>
      </w:r>
      <w:r w:rsidDel="00000000" w:rsidR="00000000" w:rsidRPr="00000000">
        <w:rPr>
          <w:rFonts w:ascii="Avenir" w:cs="Avenir" w:eastAsia="Avenir" w:hAnsi="Avenir"/>
          <w:color w:val="5a5a5a"/>
          <w:sz w:val="14"/>
          <w:szCs w:val="14"/>
          <w:rtl w:val="0"/>
        </w:rPr>
        <w:t xml:space="preserve">. 2022;36(3):29-52. doi:10.1257/jep.36.3.29</w:t>
      </w:r>
    </w:p>
    <w:p w:rsidR="00000000" w:rsidDel="00000000" w:rsidP="00000000" w:rsidRDefault="00000000" w:rsidRPr="00000000" w14:paraId="00000023">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5a5a5a"/>
          <w:sz w:val="14"/>
          <w:szCs w:val="14"/>
        </w:rPr>
      </w:pPr>
      <w:r w:rsidDel="00000000" w:rsidR="00000000" w:rsidRPr="00000000">
        <w:rPr>
          <w:rFonts w:ascii="Avenir" w:cs="Avenir" w:eastAsia="Avenir" w:hAnsi="Avenir"/>
          <w:color w:val="5a5a5a"/>
          <w:sz w:val="14"/>
          <w:szCs w:val="14"/>
          <w:rtl w:val="0"/>
        </w:rPr>
        <w:t xml:space="preserve">Strittmatter M, Meyer J, Meierhofer J, Vogt H, Kugler P, Dobler M. The EU Data Act: opportunities and research perspectives for data-driven companies. Progress in IS. 2025;Vol(Issue):21-33. doi:10.1007/978-3-031-86958-7_2</w:t>
      </w:r>
      <w:r w:rsidDel="00000000" w:rsidR="00000000" w:rsidRPr="00000000">
        <w:rPr>
          <w:rtl w:val="0"/>
        </w:rPr>
      </w:r>
    </w:p>
    <w:sectPr>
      <w:headerReference r:id="rId15"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www.mckinsey.com/capabilities/operations/our-insights/decoding-disruption-to-reshape-manufacturing-footprints" TargetMode="External"/><Relationship Id="rId10" Type="http://schemas.openxmlformats.org/officeDocument/2006/relationships/hyperlink" Target="https://www.weforum.org/stories/2024/01/how-technological-advances-like-ai-are-strengthening-supply-chains/" TargetMode="External"/><Relationship Id="rId13" Type="http://schemas.openxmlformats.org/officeDocument/2006/relationships/hyperlink" Target="https://www.pwc.com/gx/en/services/ai/ai-jobs-barometer.html" TargetMode="External"/><Relationship Id="rId12" Type="http://schemas.openxmlformats.org/officeDocument/2006/relationships/hyperlink" Target="https://www.nationalacademies.org/read/27644"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deloitte.com/us/en/insights/industry/manufacturing-industrial-products/manufacturing-industry-outlook.html" TargetMode="External"/><Relationship Id="rId15" Type="http://schemas.openxmlformats.org/officeDocument/2006/relationships/header" Target="header1.xml"/><Relationship Id="rId14" Type="http://schemas.openxmlformats.org/officeDocument/2006/relationships/hyperlink" Target="https://www.pwc.com/gx/en/services/ai/ai-jobs-barometer.html" TargetMode="External"/><Relationship Id="rId5" Type="http://schemas.openxmlformats.org/officeDocument/2006/relationships/styles" Target="styles.xml"/><Relationship Id="rId6" Type="http://schemas.openxmlformats.org/officeDocument/2006/relationships/hyperlink" Target="https://www.deloitte.com/us/en/insights/topics/digital-transformation/valuing-data-assets.html" TargetMode="External"/><Relationship Id="rId7" Type="http://schemas.openxmlformats.org/officeDocument/2006/relationships/hyperlink" Target="https://www.marketsandmarkets.com/Market-Reports/industrial-data-management-market-150678178.html" TargetMode="External"/><Relationship Id="rId8" Type="http://schemas.openxmlformats.org/officeDocument/2006/relationships/hyperlink" Target="https://www.rolandberger.com/en/Insights/Publications/Tokenization-of-real-world-assets-unlocking-a-new-era-of-ownership-trading.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