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pBdr>
          <w:top w:color="000000" w:space="0" w:sz="0" w:val="none"/>
          <w:left w:color="000000" w:space="0" w:sz="0" w:val="none"/>
          <w:bottom w:color="000000" w:space="0" w:sz="0" w:val="none"/>
          <w:right w:color="000000" w:space="0" w:sz="0" w:val="none"/>
          <w:between w:color="000000" w:space="0" w:sz="0" w:val="none"/>
        </w:pBdr>
        <w:shd w:fill="ffffff" w:val="clear"/>
        <w:spacing w:after="0" w:before="0" w:line="292.8" w:lineRule="auto"/>
        <w:jc w:val="both"/>
        <w:rPr>
          <w:rFonts w:ascii="Avenir" w:cs="Avenir" w:eastAsia="Avenir" w:hAnsi="Avenir"/>
          <w:color w:val="5b9bd5"/>
          <w:sz w:val="24"/>
          <w:szCs w:val="24"/>
        </w:rPr>
      </w:pPr>
      <w:bookmarkStart w:colFirst="0" w:colLast="0" w:name="_xeo9lntr1igl" w:id="0"/>
      <w:bookmarkEnd w:id="0"/>
      <w:r w:rsidDel="00000000" w:rsidR="00000000" w:rsidRPr="00000000">
        <w:rPr>
          <w:rFonts w:ascii="Avenir" w:cs="Avenir" w:eastAsia="Avenir" w:hAnsi="Avenir"/>
          <w:b w:val="1"/>
          <w:bCs w:val="1"/>
          <w:color w:val="5b9bd5"/>
          <w:sz w:val="24"/>
          <w:szCs w:val="24"/>
          <w:rtl w:val="0"/>
        </w:rPr>
        <w:t xml:space="preserve">CONSERVING RESOURCES WITH SIMULATED FACTORIES</w:t>
      </w:r>
      <w:r w:rsidDel="00000000" w:rsidR="00000000" w:rsidRPr="00000000">
        <w:rPr>
          <w:rFonts w:ascii="Avenir" w:cs="Avenir" w:eastAsia="Avenir" w:hAnsi="Avenir"/>
          <w:b w:val="1"/>
          <w:bCs w:val="1"/>
          <w:color w:val="5b9bd5"/>
          <w:sz w:val="24"/>
          <w:szCs w:val="24"/>
          <w:rtl w:val="0"/>
        </w:rPr>
        <w:t xml:space="preserve"> </w:t>
      </w:r>
      <w:r w:rsidDel="00000000" w:rsidR="00000000" w:rsidRPr="00000000">
        <w:rPr>
          <w:rtl w:val="0"/>
        </w:rPr>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hd w:fill="ffffff" w:val="clear"/>
        <w:spacing w:line="432" w:lineRule="auto"/>
        <w:jc w:val="both"/>
        <w:rPr>
          <w:rFonts w:ascii="Avenir" w:cs="Avenir" w:eastAsia="Avenir" w:hAnsi="Avenir"/>
          <w:color w:val="3c3f42"/>
          <w:sz w:val="18"/>
          <w:szCs w:val="18"/>
        </w:rPr>
      </w:pPr>
      <w:r w:rsidDel="00000000" w:rsidR="00000000" w:rsidRPr="00000000">
        <w:rPr>
          <w:rFonts w:ascii="Avenir" w:cs="Avenir" w:eastAsia="Avenir" w:hAnsi="Avenir"/>
          <w:color w:val="3c3f42"/>
          <w:sz w:val="18"/>
          <w:szCs w:val="18"/>
          <w:rtl w:val="0"/>
        </w:rPr>
        <w:t xml:space="preserve">Digital twins evolving from static design tools into live, self-optimizing factory operating systems</w:t>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after="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Manufacturing efficiency improvements have historically centered on physical process changes and offline simulation </w:t>
      </w:r>
      <w:r w:rsidDel="00000000" w:rsidR="00000000" w:rsidRPr="00000000">
        <w:rPr>
          <w:rFonts w:ascii="Avenir" w:cs="Avenir" w:eastAsia="Avenir" w:hAnsi="Avenir"/>
          <w:color w:val="3c3f42"/>
          <w:sz w:val="15"/>
          <w:szCs w:val="15"/>
          <w:rtl w:val="0"/>
        </w:rPr>
        <w:t xml:space="preserve">[1,2]. Without live digital twins, inefficiencies are often identified only after waste has occurred [3]. Even where firms use digital representations of factories, many systems described in literature have historically been lower-integration models or one-way ”digital shadows” rather than fully operational digital twins used continuously during live operations [4].</w:t>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after="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Leading manufacturers are connecting digital twins to real-time operational data, turning them from static models into live replicas that continuously mirror and optimize performance [5,6]. </w:t>
      </w:r>
      <w:r w:rsidDel="00000000" w:rsidR="00000000" w:rsidRPr="00000000">
        <w:rPr>
          <w:rFonts w:ascii="Avenir" w:cs="Avenir" w:eastAsia="Avenir" w:hAnsi="Avenir"/>
          <w:color w:val="3c3f42"/>
          <w:sz w:val="15"/>
          <w:szCs w:val="15"/>
          <w:rtl w:val="0"/>
        </w:rPr>
        <w:t xml:space="preserve">As simulations grow more accurate, they will expand from individual production cells to entire facilities and eventually link across supply chains to minimize resource consumption system-wide [7,8]. At the same time, advances in automated 3D reconstruction are lowering the cost of building these virtual replicas [9]. </w:t>
      </w:r>
      <w:r w:rsidDel="00000000" w:rsidR="00000000" w:rsidRPr="00000000">
        <w:rPr>
          <w:rFonts w:ascii="Avenir" w:cs="Avenir" w:eastAsia="Avenir" w:hAnsi="Avenir"/>
          <w:color w:val="3c3f42"/>
          <w:sz w:val="15"/>
          <w:szCs w:val="15"/>
          <w:rtl w:val="0"/>
        </w:rPr>
        <w:t xml:space="preserve">The result is a shift from periodic physical trial-and-error toward continuous optimization that runs virtually first and physically second.</w:t>
      </w:r>
      <w:r w:rsidDel="00000000" w:rsidR="00000000" w:rsidRPr="00000000">
        <w:rPr>
          <w:rtl w:val="0"/>
        </w:rPr>
      </w:r>
    </w:p>
    <w:p w:rsidR="00000000" w:rsidDel="00000000" w:rsidP="00000000" w:rsidRDefault="00000000" w:rsidRPr="00000000" w14:paraId="00000005">
      <w:pPr>
        <w:pStyle w:val="Heading2"/>
        <w:pBdr>
          <w:top w:color="000000" w:space="0" w:sz="0" w:val="none"/>
          <w:left w:color="000000" w:space="0" w:sz="0" w:val="none"/>
          <w:bottom w:color="000000" w:space="0" w:sz="0" w:val="none"/>
          <w:right w:color="000000" w:space="0" w:sz="0" w:val="none"/>
          <w:between w:color="000000" w:space="0" w:sz="0" w:val="none"/>
        </w:pBdr>
        <w:spacing w:after="0" w:before="240" w:line="360" w:lineRule="auto"/>
        <w:jc w:val="both"/>
        <w:rPr>
          <w:rFonts w:ascii="Avenir" w:cs="Avenir" w:eastAsia="Avenir" w:hAnsi="Avenir"/>
          <w:b w:val="1"/>
          <w:bCs w:val="1"/>
          <w:color w:val="024ea2"/>
          <w:sz w:val="15"/>
          <w:szCs w:val="15"/>
        </w:rPr>
      </w:pPr>
      <w:bookmarkStart w:colFirst="0" w:colLast="0" w:name="_8kibnt0nthk" w:id="1"/>
      <w:bookmarkEnd w:id="1"/>
      <w:r w:rsidDel="00000000" w:rsidR="00000000" w:rsidRPr="00000000">
        <w:rPr>
          <w:rFonts w:ascii="Avenir" w:cs="Avenir" w:eastAsia="Avenir" w:hAnsi="Avenir"/>
          <w:b w:val="1"/>
          <w:bCs w:val="1"/>
          <w:color w:val="024ea2"/>
          <w:sz w:val="15"/>
          <w:szCs w:val="15"/>
          <w:rtl w:val="0"/>
        </w:rPr>
        <w:t xml:space="preserve">Facts</w:t>
      </w:r>
    </w:p>
    <w:p w:rsidR="00000000" w:rsidDel="00000000" w:rsidP="00000000" w:rsidRDefault="00000000" w:rsidRPr="00000000" w14:paraId="00000006">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Siemens and NVIDIA are developing a repeatable blueprint for next-generation AI factories, aiming to connect digital twins, industrial software, and AI across the factory lifecycle</w:t>
      </w:r>
      <w:r w:rsidDel="00000000" w:rsidR="00000000" w:rsidRPr="00000000">
        <w:rPr>
          <w:rFonts w:ascii="Avenir" w:cs="Avenir" w:eastAsia="Avenir" w:hAnsi="Avenir"/>
          <w:color w:val="3c3f42"/>
          <w:sz w:val="15"/>
          <w:szCs w:val="15"/>
          <w:rtl w:val="0"/>
        </w:rPr>
        <w:t xml:space="preserve"> [11].</w:t>
      </w:r>
      <w:r w:rsidDel="00000000" w:rsidR="00000000" w:rsidRPr="00000000">
        <w:rPr>
          <w:rtl w:val="0"/>
        </w:rPr>
      </w:r>
    </w:p>
    <w:p w:rsidR="00000000" w:rsidDel="00000000" w:rsidP="00000000" w:rsidRDefault="00000000" w:rsidRPr="00000000" w14:paraId="00000007">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BMW built virtual replicas of more than 30 factories and achieved virtual start of production at its Debrecen plant over two years before physical operations began, using simulation to resolve layout, logistics, and process decisions before any physical resource was committed [11,22]</w:t>
      </w:r>
      <w:r w:rsidDel="00000000" w:rsidR="00000000" w:rsidRPr="00000000">
        <w:rPr>
          <w:rFonts w:ascii="Avenir" w:cs="Avenir" w:eastAsia="Avenir" w:hAnsi="Avenir"/>
          <w:color w:val="3c3f42"/>
          <w:sz w:val="15"/>
          <w:szCs w:val="15"/>
          <w:rtl w:val="0"/>
        </w:rPr>
        <w:t xml:space="preserve">.</w:t>
      </w:r>
      <w:r w:rsidDel="00000000" w:rsidR="00000000" w:rsidRPr="00000000">
        <w:rPr>
          <w:rtl w:val="0"/>
        </w:rPr>
      </w:r>
    </w:p>
    <w:p w:rsidR="00000000" w:rsidDel="00000000" w:rsidP="00000000" w:rsidRDefault="00000000" w:rsidRPr="00000000" w14:paraId="00000008">
      <w:pPr>
        <w:numPr>
          <w:ilvl w:val="0"/>
          <w:numId w:val="2"/>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NVIDIA's NuRec libraries enable streamlined 3D scene reconstruction from smartphone photos in minutes to hours, depending on scene complexity, reducing the time to digitize physical environments for simulation [13].</w:t>
      </w:r>
    </w:p>
    <w:p w:rsidR="00000000" w:rsidDel="00000000" w:rsidP="00000000" w:rsidRDefault="00000000" w:rsidRPr="00000000" w14:paraId="00000009">
      <w:pPr>
        <w:pBdr>
          <w:top w:color="000000" w:space="0" w:sz="0" w:val="none"/>
          <w:left w:color="000000" w:space="0" w:sz="0" w:val="none"/>
          <w:bottom w:color="000000" w:space="0" w:sz="0" w:val="none"/>
          <w:right w:color="000000" w:space="0" w:sz="0" w:val="none"/>
          <w:between w:color="000000" w:space="0" w:sz="0" w:val="none"/>
        </w:pBdr>
        <w:spacing w:line="240" w:lineRule="auto"/>
        <w:ind w:left="0" w:firstLine="0"/>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spacing w:line="240" w:lineRule="auto"/>
        <w:ind w:left="0" w:firstLine="0"/>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Key Drivers </w:t>
      </w:r>
    </w:p>
    <w:p w:rsidR="00000000" w:rsidDel="00000000" w:rsidP="00000000" w:rsidRDefault="00000000" w:rsidRPr="00000000" w14:paraId="0000000B">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As simulations </w:t>
      </w:r>
      <w:r w:rsidDel="00000000" w:rsidR="00000000" w:rsidRPr="00000000">
        <w:rPr>
          <w:rFonts w:ascii="Avenir" w:cs="Avenir" w:eastAsia="Avenir" w:hAnsi="Avenir"/>
          <w:color w:val="3c3f42"/>
          <w:sz w:val="15"/>
          <w:szCs w:val="15"/>
          <w:rtl w:val="0"/>
        </w:rPr>
        <w:t xml:space="preserve">become more accurate, optimization shifts to the virtual world, reducing waste in the physical world and lowering costs, thereby increasing profits [14,15].</w:t>
      </w:r>
    </w:p>
    <w:p w:rsidR="00000000" w:rsidDel="00000000" w:rsidP="00000000" w:rsidRDefault="00000000" w:rsidRPr="00000000" w14:paraId="0000000C">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Carbon pricing and Scope 3 reporting obligations make (energy-) waste increasingly costly, strengthening the case for simulation-first operations [23,24].</w:t>
      </w:r>
      <w:r w:rsidDel="00000000" w:rsidR="00000000" w:rsidRPr="00000000">
        <w:rPr>
          <w:rtl w:val="0"/>
        </w:rPr>
      </w:r>
    </w:p>
    <w:p w:rsidR="00000000" w:rsidDel="00000000" w:rsidP="00000000" w:rsidRDefault="00000000" w:rsidRPr="00000000" w14:paraId="0000000D">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Smartphone-based 3D reconstruction and cloud processing are now reducing the cost of capturing factory geometry, lowering a major barrier to creating simulation-ready models [9].</w:t>
      </w:r>
      <w:r w:rsidDel="00000000" w:rsidR="00000000" w:rsidRPr="00000000">
        <w:rPr>
          <w:rtl w:val="0"/>
        </w:rPr>
      </w:r>
    </w:p>
    <w:p w:rsidR="00000000" w:rsidDel="00000000" w:rsidP="00000000" w:rsidRDefault="00000000" w:rsidRPr="00000000" w14:paraId="0000000E">
      <w:pPr>
        <w:pStyle w:val="Heading2"/>
        <w:pBdr>
          <w:top w:color="000000" w:space="0" w:sz="0" w:val="none"/>
          <w:left w:color="000000" w:space="0" w:sz="0" w:val="none"/>
          <w:bottom w:color="000000" w:space="0" w:sz="0" w:val="none"/>
          <w:right w:color="000000" w:space="0" w:sz="0" w:val="none"/>
          <w:between w:color="000000" w:space="0" w:sz="0" w:val="none"/>
        </w:pBdr>
        <w:spacing w:after="0" w:before="240" w:line="360" w:lineRule="auto"/>
        <w:jc w:val="both"/>
        <w:rPr>
          <w:rFonts w:ascii="Avenir" w:cs="Avenir" w:eastAsia="Avenir" w:hAnsi="Avenir"/>
          <w:b w:val="1"/>
          <w:bCs w:val="1"/>
          <w:color w:val="024ea2"/>
          <w:sz w:val="15"/>
          <w:szCs w:val="15"/>
        </w:rPr>
      </w:pPr>
      <w:bookmarkStart w:colFirst="0" w:colLast="0" w:name="_mq06e8yusvtk" w:id="2"/>
      <w:bookmarkEnd w:id="2"/>
      <w:r w:rsidDel="00000000" w:rsidR="00000000" w:rsidRPr="00000000">
        <w:rPr>
          <w:rFonts w:ascii="Avenir" w:cs="Avenir" w:eastAsia="Avenir" w:hAnsi="Avenir"/>
          <w:b w:val="1"/>
          <w:bCs w:val="1"/>
          <w:color w:val="024ea2"/>
          <w:sz w:val="15"/>
          <w:szCs w:val="15"/>
          <w:rtl w:val="0"/>
        </w:rPr>
        <w:t xml:space="preserve">Challenges</w:t>
      </w:r>
    </w:p>
    <w:p w:rsidR="00000000" w:rsidDel="00000000" w:rsidP="00000000" w:rsidRDefault="00000000" w:rsidRPr="00000000" w14:paraId="0000000F">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Keeping a live digital twin synchronized with its physical counterpart is an ongoing challenge. As machines wear and factory conditions change, maintaining model accuracy remains difficult and is not yet fully solved [20].</w:t>
      </w:r>
    </w:p>
    <w:p w:rsidR="00000000" w:rsidDel="00000000" w:rsidP="00000000" w:rsidRDefault="00000000" w:rsidRPr="00000000" w14:paraId="00000010">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Full digital twin deployments require substantial manual modeling effort, domain expertise, and upfront system integration work, limiting accessibility for many mid-sized manufacturers [18,19,21].</w:t>
      </w:r>
    </w:p>
    <w:p w:rsidR="00000000" w:rsidDel="00000000" w:rsidP="00000000" w:rsidRDefault="00000000" w:rsidRPr="00000000" w14:paraId="00000011">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u w:val="none"/>
        </w:rPr>
      </w:pPr>
      <w:r w:rsidDel="00000000" w:rsidR="00000000" w:rsidRPr="00000000">
        <w:rPr>
          <w:rFonts w:ascii="Avenir" w:cs="Avenir" w:eastAsia="Avenir" w:hAnsi="Avenir"/>
          <w:color w:val="3c3f42"/>
          <w:sz w:val="15"/>
          <w:szCs w:val="15"/>
          <w:rtl w:val="0"/>
        </w:rPr>
        <w:t xml:space="preserve">Operational digital twins depend on continuous data from sensors, control systems, and production tracking. Integrating these sources reliably is technically demanding, with poor data quality potentially compromising the entire simulation [18,19].</w:t>
      </w:r>
    </w:p>
    <w:p w:rsidR="00000000" w:rsidDel="00000000" w:rsidP="00000000" w:rsidRDefault="00000000" w:rsidRPr="00000000" w14:paraId="00000012">
      <w:pPr>
        <w:pStyle w:val="Heading2"/>
        <w:pBdr>
          <w:top w:color="000000" w:space="0" w:sz="0" w:val="none"/>
          <w:left w:color="000000" w:space="0" w:sz="0" w:val="none"/>
          <w:bottom w:color="000000" w:space="0" w:sz="0" w:val="none"/>
          <w:right w:color="000000" w:space="0" w:sz="0" w:val="none"/>
          <w:between w:color="000000" w:space="0" w:sz="0" w:val="none"/>
        </w:pBdr>
        <w:spacing w:after="0" w:before="240" w:line="360" w:lineRule="auto"/>
        <w:jc w:val="both"/>
        <w:rPr>
          <w:rFonts w:ascii="Avenir" w:cs="Avenir" w:eastAsia="Avenir" w:hAnsi="Avenir"/>
          <w:b w:val="1"/>
          <w:bCs w:val="1"/>
          <w:color w:val="024ea2"/>
          <w:sz w:val="15"/>
          <w:szCs w:val="15"/>
        </w:rPr>
      </w:pPr>
      <w:bookmarkStart w:colFirst="0" w:colLast="0" w:name="_vvnteusd4f36" w:id="3"/>
      <w:bookmarkEnd w:id="3"/>
      <w:r w:rsidDel="00000000" w:rsidR="00000000" w:rsidRPr="00000000">
        <w:rPr>
          <w:rFonts w:ascii="Avenir" w:cs="Avenir" w:eastAsia="Avenir" w:hAnsi="Avenir"/>
          <w:b w:val="1"/>
          <w:bCs w:val="1"/>
          <w:color w:val="024ea2"/>
          <w:sz w:val="15"/>
          <w:szCs w:val="15"/>
          <w:rtl w:val="0"/>
        </w:rPr>
        <w:t xml:space="preserve">Impact on Industrial AI</w:t>
      </w:r>
      <w:r w:rsidDel="00000000" w:rsidR="00000000" w:rsidRPr="00000000">
        <w:rPr>
          <w:rtl w:val="0"/>
        </w:rPr>
      </w:r>
    </w:p>
    <w:p w:rsidR="00000000" w:rsidDel="00000000" w:rsidP="00000000" w:rsidRDefault="00000000" w:rsidRPr="00000000" w14:paraId="00000013">
      <w:pPr>
        <w:pBdr>
          <w:top w:color="000000" w:space="0" w:sz="0" w:val="none"/>
          <w:left w:color="000000" w:space="0" w:sz="0" w:val="none"/>
          <w:bottom w:color="000000" w:space="0" w:sz="0" w:val="none"/>
          <w:right w:color="000000" w:space="0" w:sz="0" w:val="none"/>
          <w:between w:color="000000" w:space="0" w:sz="0" w:val="none"/>
        </w:pBdr>
        <w:shd w:fill="ffffff" w:val="clea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Large-scale factory simulation extends industrial AI from optimizing isolated processes to orchestrating entire production systems [5].</w:t>
      </w:r>
    </w:p>
    <w:p w:rsidR="00000000" w:rsidDel="00000000" w:rsidP="00000000" w:rsidRDefault="00000000" w:rsidRPr="00000000" w14:paraId="00000014">
      <w:pPr>
        <w:pBdr>
          <w:top w:color="000000" w:space="0" w:sz="0" w:val="none"/>
          <w:left w:color="000000" w:space="0" w:sz="0" w:val="none"/>
          <w:bottom w:color="000000" w:space="0" w:sz="0" w:val="none"/>
          <w:right w:color="000000" w:space="0" w:sz="0" w:val="none"/>
          <w:between w:color="000000" w:space="0" w:sz="0" w:val="none"/>
        </w:pBdr>
        <w:shd w:fill="ffffff" w:val="clear"/>
        <w:spacing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The progression moves from design-phase simulation to live operational twins that support real-time monitoring, prediction, and coordination of energy, production, and logistics within a facility [5,6]. It may extend toward interconnected supply-chain simulations that provide end-to-end visibility and enable coordinated planning and control across networked operations [7,8]. As simulation scope expands, facility-level simulation can reduce cross-system inefficiencies difficult to detect with point solutions, while supply-chain-level simulation may reduce overproduction, excess inventory, and logistics waste [14,21].</w:t>
      </w:r>
    </w:p>
    <w:p w:rsidR="00000000" w:rsidDel="00000000" w:rsidP="00000000" w:rsidRDefault="00000000" w:rsidRPr="00000000" w14:paraId="00000015">
      <w:pPr>
        <w:pBdr>
          <w:top w:color="000000" w:space="0" w:sz="0" w:val="none"/>
          <w:left w:color="000000" w:space="0" w:sz="0" w:val="none"/>
          <w:bottom w:color="000000" w:space="0" w:sz="0" w:val="none"/>
          <w:right w:color="000000" w:space="0" w:sz="0" w:val="none"/>
          <w:between w:color="000000" w:space="0" w:sz="0" w:val="none"/>
        </w:pBdr>
        <w:shd w:fill="ffffff" w:val="clear"/>
        <w:spacing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16">
      <w:pPr>
        <w:pBdr>
          <w:top w:color="000000" w:space="0" w:sz="0" w:val="none"/>
          <w:left w:color="000000" w:space="0" w:sz="0" w:val="none"/>
          <w:bottom w:color="000000" w:space="0" w:sz="0" w:val="none"/>
          <w:right w:color="000000" w:space="0" w:sz="0" w:val="none"/>
          <w:between w:color="000000" w:space="0" w:sz="0" w:val="none"/>
        </w:pBdr>
        <w:shd w:fill="ffffff" w:val="clear"/>
        <w:spacing w:lin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References</w:t>
      </w:r>
    </w:p>
    <w:p w:rsidR="00000000" w:rsidDel="00000000" w:rsidP="00000000" w:rsidRDefault="00000000" w:rsidRPr="00000000" w14:paraId="00000017">
      <w:pPr>
        <w:pBdr>
          <w:top w:color="000000" w:space="0" w:sz="0" w:val="none"/>
          <w:left w:color="000000" w:space="0" w:sz="0" w:val="none"/>
          <w:bottom w:color="000000" w:space="0" w:sz="0" w:val="none"/>
          <w:right w:color="000000" w:space="0" w:sz="0" w:val="none"/>
          <w:between w:color="000000" w:space="0" w:sz="0" w:val="none"/>
        </w:pBdr>
        <w:spacing w:after="240" w:line="240" w:lineRule="auto"/>
        <w:ind w:left="384.00000000000006"/>
        <w:rPr>
          <w:rFonts w:ascii="Avenir" w:cs="Avenir" w:eastAsia="Avenir" w:hAnsi="Avenir"/>
          <w:color w:val="202122"/>
          <w:sz w:val="15"/>
          <w:szCs w:val="15"/>
        </w:rPr>
      </w:pPr>
      <w:r w:rsidDel="00000000" w:rsidR="00000000" w:rsidRPr="00000000">
        <w:rPr>
          <w:rFonts w:ascii="Avenir" w:cs="Avenir" w:eastAsia="Avenir" w:hAnsi="Avenir"/>
          <w:color w:val="202122"/>
          <w:sz w:val="15"/>
          <w:szCs w:val="15"/>
          <w:rtl w:val="0"/>
        </w:rPr>
        <w:t xml:space="preserve">1.     </w:t>
        <w:tab/>
        <w:t xml:space="preserve">Thiede S, Bogdanski G, Herrmann C. A Systematic Method for Increasing the Energy and Resource Efficiency in Manufacturing Companies. Procedia CIRP. 2012;2:28-33. doi:10.1016/j.procir.2012.05.034</w:t>
      </w:r>
    </w:p>
    <w:p w:rsidR="00000000" w:rsidDel="00000000" w:rsidP="00000000" w:rsidRDefault="00000000" w:rsidRPr="00000000" w14:paraId="00000018">
      <w:pPr>
        <w:pBdr>
          <w:top w:color="000000" w:space="0" w:sz="0" w:val="none"/>
          <w:left w:color="000000" w:space="0" w:sz="0" w:val="none"/>
          <w:bottom w:color="000000" w:space="0" w:sz="0" w:val="none"/>
          <w:right w:color="000000" w:space="0" w:sz="0" w:val="none"/>
          <w:between w:color="000000" w:space="0" w:sz="0" w:val="none"/>
        </w:pBdr>
        <w:spacing w:after="240" w:line="240" w:lineRule="auto"/>
        <w:ind w:left="384.00000000000006"/>
        <w:rPr>
          <w:rFonts w:ascii="Avenir" w:cs="Avenir" w:eastAsia="Avenir" w:hAnsi="Avenir"/>
          <w:color w:val="202122"/>
          <w:sz w:val="15"/>
          <w:szCs w:val="15"/>
        </w:rPr>
      </w:pPr>
      <w:r w:rsidDel="00000000" w:rsidR="00000000" w:rsidRPr="00000000">
        <w:rPr>
          <w:rFonts w:ascii="Avenir" w:cs="Avenir" w:eastAsia="Avenir" w:hAnsi="Avenir"/>
          <w:color w:val="202122"/>
          <w:sz w:val="15"/>
          <w:szCs w:val="15"/>
          <w:rtl w:val="0"/>
        </w:rPr>
        <w:t xml:space="preserve">2.     </w:t>
        <w:tab/>
        <w:t xml:space="preserve">Herrmann C, Thiede S, Kara S, Hesselbach J. Energy oriented simulation of manufacturing systems – Concept and application. CIRP Ann. 2011;60(1):45-48. doi:10.1016/j.cirp.2011.03.127</w:t>
      </w:r>
    </w:p>
    <w:p w:rsidR="00000000" w:rsidDel="00000000" w:rsidP="00000000" w:rsidRDefault="00000000" w:rsidRPr="00000000" w14:paraId="00000019">
      <w:pPr>
        <w:pBdr>
          <w:top w:color="000000" w:space="0" w:sz="0" w:val="none"/>
          <w:left w:color="000000" w:space="0" w:sz="0" w:val="none"/>
          <w:bottom w:color="000000" w:space="0" w:sz="0" w:val="none"/>
          <w:right w:color="000000" w:space="0" w:sz="0" w:val="none"/>
          <w:between w:color="000000" w:space="0" w:sz="0" w:val="none"/>
        </w:pBdr>
        <w:spacing w:after="240" w:line="240" w:lineRule="auto"/>
        <w:ind w:left="384.00000000000006"/>
        <w:rPr>
          <w:rFonts w:ascii="Avenir" w:cs="Avenir" w:eastAsia="Avenir" w:hAnsi="Avenir"/>
          <w:color w:val="202122"/>
          <w:sz w:val="15"/>
          <w:szCs w:val="15"/>
        </w:rPr>
      </w:pPr>
      <w:r w:rsidDel="00000000" w:rsidR="00000000" w:rsidRPr="00000000">
        <w:rPr>
          <w:rFonts w:ascii="Avenir" w:cs="Avenir" w:eastAsia="Avenir" w:hAnsi="Avenir"/>
          <w:color w:val="202122"/>
          <w:sz w:val="15"/>
          <w:szCs w:val="15"/>
          <w:rtl w:val="0"/>
        </w:rPr>
        <w:t xml:space="preserve">3. </w:t>
        <w:tab/>
        <w:t xml:space="preserve">Resman M, Herakovič N, Debevec M. Integrating digital twin technology to achieve higher operational efficiency and sustainability in manufacturing systems. Systems. 2025;13(3):180. doi:10.3390/systems13030180</w:t>
      </w:r>
    </w:p>
    <w:p w:rsidR="00000000" w:rsidDel="00000000" w:rsidP="00000000" w:rsidRDefault="00000000" w:rsidRPr="00000000" w14:paraId="0000001A">
      <w:pPr>
        <w:pBdr>
          <w:top w:color="000000" w:space="0" w:sz="0" w:val="none"/>
          <w:left w:color="000000" w:space="0" w:sz="0" w:val="none"/>
          <w:bottom w:color="000000" w:space="0" w:sz="0" w:val="none"/>
          <w:right w:color="000000" w:space="0" w:sz="0" w:val="none"/>
          <w:between w:color="000000" w:space="0" w:sz="0" w:val="none"/>
        </w:pBdr>
        <w:spacing w:after="240" w:line="240" w:lineRule="auto"/>
        <w:ind w:left="384.00000000000006"/>
        <w:rPr>
          <w:rFonts w:ascii="Avenir" w:cs="Avenir" w:eastAsia="Avenir" w:hAnsi="Avenir"/>
          <w:color w:val="202122"/>
          <w:sz w:val="15"/>
          <w:szCs w:val="15"/>
        </w:rPr>
      </w:pPr>
      <w:r w:rsidDel="00000000" w:rsidR="00000000" w:rsidRPr="00000000">
        <w:rPr>
          <w:rFonts w:ascii="Avenir" w:cs="Avenir" w:eastAsia="Avenir" w:hAnsi="Avenir"/>
          <w:color w:val="202122"/>
          <w:sz w:val="15"/>
          <w:szCs w:val="15"/>
          <w:rtl w:val="0"/>
        </w:rPr>
        <w:t xml:space="preserve">4.     </w:t>
        <w:tab/>
        <w:t xml:space="preserve">Kritzinger W, Karner M, Traar G, Henjes J, Sihn W. Digital Twin in manufacturing: A categorical literature review and classification. IFAC-Pap. 2018;51(11):1016-1022. doi:10.1016/j.ifacol.2018.08.474</w:t>
      </w:r>
    </w:p>
    <w:p w:rsidR="00000000" w:rsidDel="00000000" w:rsidP="00000000" w:rsidRDefault="00000000" w:rsidRPr="00000000" w14:paraId="0000001B">
      <w:pPr>
        <w:pBdr>
          <w:top w:color="000000" w:space="0" w:sz="0" w:val="none"/>
          <w:left w:color="000000" w:space="0" w:sz="0" w:val="none"/>
          <w:bottom w:color="000000" w:space="0" w:sz="0" w:val="none"/>
          <w:right w:color="000000" w:space="0" w:sz="0" w:val="none"/>
          <w:between w:color="000000" w:space="0" w:sz="0" w:val="none"/>
        </w:pBdr>
        <w:spacing w:after="240" w:line="240" w:lineRule="auto"/>
        <w:ind w:left="384.00000000000006"/>
        <w:rPr>
          <w:rFonts w:ascii="Avenir" w:cs="Avenir" w:eastAsia="Avenir" w:hAnsi="Avenir"/>
          <w:color w:val="202122"/>
          <w:sz w:val="15"/>
          <w:szCs w:val="15"/>
        </w:rPr>
      </w:pPr>
      <w:r w:rsidDel="00000000" w:rsidR="00000000" w:rsidRPr="00000000">
        <w:rPr>
          <w:rFonts w:ascii="Avenir" w:cs="Avenir" w:eastAsia="Avenir" w:hAnsi="Avenir"/>
          <w:color w:val="202122"/>
          <w:sz w:val="15"/>
          <w:szCs w:val="15"/>
          <w:rtl w:val="0"/>
        </w:rPr>
        <w:t xml:space="preserve">5.     </w:t>
        <w:tab/>
        <w:t xml:space="preserve">Tao F, Zhang H, Liu A, Nee AYC. Digital Twin in Industry: State-of-the-Art. IEEE Trans Ind Inform. 2019;15(4):2405-2415. doi:10.1109/TII.2018.2873186</w:t>
      </w:r>
    </w:p>
    <w:p w:rsidR="00000000" w:rsidDel="00000000" w:rsidP="00000000" w:rsidRDefault="00000000" w:rsidRPr="00000000" w14:paraId="0000001C">
      <w:pPr>
        <w:pBdr>
          <w:top w:color="000000" w:space="0" w:sz="0" w:val="none"/>
          <w:left w:color="000000" w:space="0" w:sz="0" w:val="none"/>
          <w:bottom w:color="000000" w:space="0" w:sz="0" w:val="none"/>
          <w:right w:color="000000" w:space="0" w:sz="0" w:val="none"/>
          <w:between w:color="000000" w:space="0" w:sz="0" w:val="none"/>
        </w:pBdr>
        <w:spacing w:after="240" w:line="240" w:lineRule="auto"/>
        <w:ind w:left="384.00000000000006"/>
        <w:rPr>
          <w:rFonts w:ascii="Avenir" w:cs="Avenir" w:eastAsia="Avenir" w:hAnsi="Avenir"/>
          <w:color w:val="202122"/>
          <w:sz w:val="15"/>
          <w:szCs w:val="15"/>
        </w:rPr>
      </w:pPr>
      <w:r w:rsidDel="00000000" w:rsidR="00000000" w:rsidRPr="00000000">
        <w:rPr>
          <w:rFonts w:ascii="Avenir" w:cs="Avenir" w:eastAsia="Avenir" w:hAnsi="Avenir"/>
          <w:color w:val="202122"/>
          <w:sz w:val="15"/>
          <w:szCs w:val="15"/>
          <w:rtl w:val="0"/>
        </w:rPr>
        <w:t xml:space="preserve">6.     </w:t>
        <w:tab/>
        <w:t xml:space="preserve">Lu Y, Liu C, Wang KIK, Huang H, Xu X. Digital Twin-driven smart manufacturing: Connotation, reference model, applications and research issues. Robot Comput-Integr Manuf. 2020;61:101837. doi:10.1016/j.rcim.2019.101837</w:t>
      </w:r>
    </w:p>
    <w:p w:rsidR="00000000" w:rsidDel="00000000" w:rsidP="00000000" w:rsidRDefault="00000000" w:rsidRPr="00000000" w14:paraId="0000001D">
      <w:pPr>
        <w:pBdr>
          <w:top w:color="000000" w:space="0" w:sz="0" w:val="none"/>
          <w:left w:color="000000" w:space="0" w:sz="0" w:val="none"/>
          <w:bottom w:color="000000" w:space="0" w:sz="0" w:val="none"/>
          <w:right w:color="000000" w:space="0" w:sz="0" w:val="none"/>
          <w:between w:color="000000" w:space="0" w:sz="0" w:val="none"/>
        </w:pBdr>
        <w:spacing w:after="240" w:line="240" w:lineRule="auto"/>
        <w:ind w:left="384.00000000000006"/>
        <w:rPr>
          <w:rFonts w:ascii="Avenir" w:cs="Avenir" w:eastAsia="Avenir" w:hAnsi="Avenir"/>
          <w:color w:val="202122"/>
          <w:sz w:val="15"/>
          <w:szCs w:val="15"/>
        </w:rPr>
      </w:pPr>
      <w:r w:rsidDel="00000000" w:rsidR="00000000" w:rsidRPr="00000000">
        <w:rPr>
          <w:rFonts w:ascii="Avenir" w:cs="Avenir" w:eastAsia="Avenir" w:hAnsi="Avenir"/>
          <w:color w:val="202122"/>
          <w:sz w:val="15"/>
          <w:szCs w:val="15"/>
          <w:rtl w:val="0"/>
        </w:rPr>
        <w:t xml:space="preserve">7.     </w:t>
        <w:tab/>
        <w:t xml:space="preserve">Ivanov D, Dolgui A. A digital supply chain twin for managing the disruption risks and resilience in the era of Industry 4.0. Prod Plan Control. 2021;32(9):775-788. doi:10.1080/09537287.2020.1768450</w:t>
      </w:r>
    </w:p>
    <w:p w:rsidR="00000000" w:rsidDel="00000000" w:rsidP="00000000" w:rsidRDefault="00000000" w:rsidRPr="00000000" w14:paraId="0000001E">
      <w:pPr>
        <w:pBdr>
          <w:top w:color="000000" w:space="0" w:sz="0" w:val="none"/>
          <w:left w:color="000000" w:space="0" w:sz="0" w:val="none"/>
          <w:bottom w:color="000000" w:space="0" w:sz="0" w:val="none"/>
          <w:right w:color="000000" w:space="0" w:sz="0" w:val="none"/>
          <w:between w:color="000000" w:space="0" w:sz="0" w:val="none"/>
        </w:pBdr>
        <w:spacing w:after="240" w:line="240" w:lineRule="auto"/>
        <w:ind w:left="384.00000000000006"/>
        <w:rPr>
          <w:rFonts w:ascii="Avenir" w:cs="Avenir" w:eastAsia="Avenir" w:hAnsi="Avenir"/>
          <w:color w:val="202122"/>
          <w:sz w:val="15"/>
          <w:szCs w:val="15"/>
        </w:rPr>
      </w:pPr>
      <w:r w:rsidDel="00000000" w:rsidR="00000000" w:rsidRPr="00000000">
        <w:rPr>
          <w:rFonts w:ascii="Avenir" w:cs="Avenir" w:eastAsia="Avenir" w:hAnsi="Avenir"/>
          <w:color w:val="202122"/>
          <w:sz w:val="15"/>
          <w:szCs w:val="15"/>
          <w:rtl w:val="0"/>
        </w:rPr>
        <w:t xml:space="preserve">8.     </w:t>
        <w:tab/>
        <w:t xml:space="preserve">Park KT, Son YH, Noh SD. The architectural framework of a cyber physical logistics system for digital-twin-based supply chain control. Int J Prod Res. 2021;59(19):5721-5742. doi:10.1080/00207543.2020.1788738</w:t>
      </w:r>
    </w:p>
    <w:p w:rsidR="00000000" w:rsidDel="00000000" w:rsidP="00000000" w:rsidRDefault="00000000" w:rsidRPr="00000000" w14:paraId="0000001F">
      <w:pPr>
        <w:pBdr>
          <w:top w:color="000000" w:space="0" w:sz="0" w:val="none"/>
          <w:left w:color="000000" w:space="0" w:sz="0" w:val="none"/>
          <w:bottom w:color="000000" w:space="0" w:sz="0" w:val="none"/>
          <w:right w:color="000000" w:space="0" w:sz="0" w:val="none"/>
          <w:between w:color="000000" w:space="0" w:sz="0" w:val="none"/>
        </w:pBdr>
        <w:spacing w:after="240" w:line="240" w:lineRule="auto"/>
        <w:ind w:left="384.00000000000006"/>
        <w:rPr>
          <w:rFonts w:ascii="Avenir" w:cs="Avenir" w:eastAsia="Avenir" w:hAnsi="Avenir"/>
          <w:color w:val="202122"/>
          <w:sz w:val="15"/>
          <w:szCs w:val="15"/>
        </w:rPr>
      </w:pPr>
      <w:r w:rsidDel="00000000" w:rsidR="00000000" w:rsidRPr="00000000">
        <w:rPr>
          <w:rFonts w:ascii="Avenir" w:cs="Avenir" w:eastAsia="Avenir" w:hAnsi="Avenir"/>
          <w:color w:val="202122"/>
          <w:sz w:val="15"/>
          <w:szCs w:val="15"/>
          <w:rtl w:val="0"/>
        </w:rPr>
        <w:t xml:space="preserve">9.     </w:t>
        <w:tab/>
        <w:t xml:space="preserve">Balakrishnan Selvakumaran S, Hall DM. From crowd to cloud: simplified automatic reconstruction of digital building assets for facility management. J Facil Manag. 2022;20(3):401-436. doi:10.1108/JFM-02-2021-0017</w:t>
      </w:r>
    </w:p>
    <w:p w:rsidR="00000000" w:rsidDel="00000000" w:rsidP="00000000" w:rsidRDefault="00000000" w:rsidRPr="00000000" w14:paraId="00000020">
      <w:pPr>
        <w:pBdr>
          <w:top w:color="000000" w:space="0" w:sz="0" w:val="none"/>
          <w:left w:color="000000" w:space="0" w:sz="0" w:val="none"/>
          <w:bottom w:color="000000" w:space="0" w:sz="0" w:val="none"/>
          <w:right w:color="000000" w:space="0" w:sz="0" w:val="none"/>
          <w:between w:color="000000" w:space="0" w:sz="0" w:val="none"/>
        </w:pBdr>
        <w:spacing w:after="240" w:line="240" w:lineRule="auto"/>
        <w:ind w:left="384.00000000000006"/>
        <w:rPr>
          <w:rFonts w:ascii="Avenir" w:cs="Avenir" w:eastAsia="Avenir" w:hAnsi="Avenir"/>
          <w:color w:val="202122"/>
          <w:sz w:val="15"/>
          <w:szCs w:val="15"/>
        </w:rPr>
      </w:pPr>
      <w:r w:rsidDel="00000000" w:rsidR="00000000" w:rsidRPr="00000000">
        <w:rPr>
          <w:rFonts w:ascii="Avenir" w:cs="Avenir" w:eastAsia="Avenir" w:hAnsi="Avenir"/>
          <w:color w:val="202122"/>
          <w:sz w:val="15"/>
          <w:szCs w:val="15"/>
          <w:rtl w:val="0"/>
        </w:rPr>
        <w:t xml:space="preserve">10.    Mills J. NVIDIA Launches Omniverse DSX Blueprint, Enabling Global AI Infrastructure Ecosystem to Build Gigawatt-Scale AI Factories. NVIDIA Blog. Accessed October 28, 2025. Accessed March 9, 2026. </w:t>
      </w:r>
      <w:hyperlink r:id="rId7">
        <w:r w:rsidDel="00000000" w:rsidR="00000000" w:rsidRPr="00000000">
          <w:rPr>
            <w:rFonts w:ascii="Avenir" w:cs="Avenir" w:eastAsia="Avenir" w:hAnsi="Avenir"/>
            <w:color w:val="1155cc"/>
            <w:sz w:val="15"/>
            <w:szCs w:val="15"/>
            <w:u w:val="single"/>
            <w:rtl w:val="0"/>
          </w:rPr>
          <w:t xml:space="preserve">https://blogs.nvidia.com/blog/omniverse-dsx-blueprint/</w:t>
        </w:r>
      </w:hyperlink>
      <w:r w:rsidDel="00000000" w:rsidR="00000000" w:rsidRPr="00000000">
        <w:rPr>
          <w:rtl w:val="0"/>
        </w:rPr>
      </w:r>
    </w:p>
    <w:p w:rsidR="00000000" w:rsidDel="00000000" w:rsidP="00000000" w:rsidRDefault="00000000" w:rsidRPr="00000000" w14:paraId="00000021">
      <w:pPr>
        <w:pBdr>
          <w:top w:color="000000" w:space="0" w:sz="0" w:val="none"/>
          <w:left w:color="000000" w:space="0" w:sz="0" w:val="none"/>
          <w:bottom w:color="000000" w:space="0" w:sz="0" w:val="none"/>
          <w:right w:color="000000" w:space="0" w:sz="0" w:val="none"/>
          <w:between w:color="000000" w:space="0" w:sz="0" w:val="none"/>
        </w:pBdr>
        <w:spacing w:after="240" w:line="240" w:lineRule="auto"/>
        <w:ind w:left="384.00000000000006"/>
        <w:rPr>
          <w:rFonts w:ascii="Avenir" w:cs="Avenir" w:eastAsia="Avenir" w:hAnsi="Avenir"/>
          <w:color w:val="202122"/>
          <w:sz w:val="15"/>
          <w:szCs w:val="15"/>
        </w:rPr>
      </w:pPr>
      <w:commentRangeStart w:id="0"/>
      <w:r w:rsidDel="00000000" w:rsidR="00000000" w:rsidRPr="00000000">
        <w:rPr>
          <w:rFonts w:ascii="Avenir" w:cs="Avenir" w:eastAsia="Avenir" w:hAnsi="Avenir"/>
          <w:color w:val="202122"/>
          <w:sz w:val="15"/>
          <w:szCs w:val="15"/>
          <w:rtl w:val="0"/>
        </w:rPr>
        <w:t xml:space="preserve">11.  </w:t>
        <w:tab/>
        <w:t xml:space="preserve">Siemens. Siemens and NVIDIA expand partnership to build industrial AI operating system. Published January 6, 2026. Accessed March 9, 2026. </w:t>
      </w:r>
      <w:hyperlink r:id="rId8">
        <w:r w:rsidDel="00000000" w:rsidR="00000000" w:rsidRPr="00000000">
          <w:rPr>
            <w:rFonts w:ascii="Avenir" w:cs="Avenir" w:eastAsia="Avenir" w:hAnsi="Avenir"/>
            <w:color w:val="1155cc"/>
            <w:sz w:val="15"/>
            <w:szCs w:val="15"/>
            <w:u w:val="single"/>
            <w:rtl w:val="0"/>
          </w:rPr>
          <w:t xml:space="preserve">https://press.siemens.com/global/en/pressrelease/siemens-and-nvidia-expand-partnership-build-industrial-ai-operating-syste</w:t>
        </w:r>
      </w:hyperlink>
      <w:commentRangeEnd w:id="0"/>
      <w:r w:rsidDel="00000000" w:rsidR="00000000" w:rsidRPr="00000000">
        <w:commentReference w:id="0"/>
      </w:r>
      <w:hyperlink r:id="rId9">
        <w:r w:rsidDel="00000000" w:rsidR="00000000" w:rsidRPr="00000000">
          <w:rPr>
            <w:rFonts w:ascii="Avenir" w:cs="Avenir" w:eastAsia="Avenir" w:hAnsi="Avenir"/>
            <w:color w:val="1155cc"/>
            <w:sz w:val="15"/>
            <w:szCs w:val="15"/>
            <w:u w:val="single"/>
            <w:rtl w:val="0"/>
          </w:rPr>
          <w:t xml:space="preserve">m</w:t>
        </w:r>
      </w:hyperlink>
      <w:r w:rsidDel="00000000" w:rsidR="00000000" w:rsidRPr="00000000">
        <w:rPr>
          <w:rFonts w:ascii="Avenir" w:cs="Avenir" w:eastAsia="Avenir" w:hAnsi="Avenir"/>
          <w:color w:val="202122"/>
          <w:sz w:val="15"/>
          <w:szCs w:val="15"/>
          <w:rtl w:val="0"/>
        </w:rPr>
        <w:t xml:space="preserve"> </w:t>
      </w:r>
      <w:commentRangeStart w:id="1"/>
      <w:r w:rsidDel="00000000" w:rsidR="00000000" w:rsidRPr="00000000">
        <w:rPr>
          <w:rtl w:val="0"/>
        </w:rPr>
      </w:r>
    </w:p>
    <w:p w:rsidR="00000000" w:rsidDel="00000000" w:rsidP="00000000" w:rsidRDefault="00000000" w:rsidRPr="00000000" w14:paraId="00000022">
      <w:pPr>
        <w:pBdr>
          <w:top w:color="000000" w:space="0" w:sz="0" w:val="none"/>
          <w:left w:color="000000" w:space="0" w:sz="0" w:val="none"/>
          <w:bottom w:color="000000" w:space="0" w:sz="0" w:val="none"/>
          <w:right w:color="000000" w:space="0" w:sz="0" w:val="none"/>
          <w:between w:color="000000" w:space="0" w:sz="0" w:val="none"/>
        </w:pBdr>
        <w:spacing w:after="240" w:line="240" w:lineRule="auto"/>
        <w:ind w:left="384.00000000000006"/>
        <w:rPr>
          <w:rFonts w:ascii="Avenir" w:cs="Avenir" w:eastAsia="Avenir" w:hAnsi="Avenir"/>
          <w:color w:val="202122"/>
          <w:sz w:val="15"/>
          <w:szCs w:val="15"/>
        </w:rPr>
      </w:pPr>
      <w:r w:rsidDel="00000000" w:rsidR="00000000" w:rsidRPr="00000000">
        <w:rPr>
          <w:rFonts w:ascii="Avenir" w:cs="Avenir" w:eastAsia="Avenir" w:hAnsi="Avenir"/>
          <w:color w:val="202122"/>
          <w:sz w:val="15"/>
          <w:szCs w:val="15"/>
          <w:rtl w:val="0"/>
        </w:rPr>
        <w:t xml:space="preserve">12.  </w:t>
        <w:tab/>
        <w:t xml:space="preserve">Siemens. Siemens and NVIDIA expand partnership to build industrial AI operating system. Published January 6, 2026. Accessed March 9, 2026. </w:t>
      </w:r>
      <w:hyperlink r:id="rId10">
        <w:r w:rsidDel="00000000" w:rsidR="00000000" w:rsidRPr="00000000">
          <w:rPr>
            <w:rFonts w:ascii="Avenir" w:cs="Avenir" w:eastAsia="Avenir" w:hAnsi="Avenir"/>
            <w:color w:val="1155cc"/>
            <w:sz w:val="15"/>
            <w:szCs w:val="15"/>
            <w:u w:val="single"/>
            <w:rtl w:val="0"/>
          </w:rPr>
          <w:t xml:space="preserve">https://press.siemens.com/global/en/pressrelease/siemens-and-nvidia-expand-partnership-build-industrial-ai-operating-syste</w:t>
        </w:r>
      </w:hyperlink>
      <w:commentRangeEnd w:id="1"/>
      <w:r w:rsidDel="00000000" w:rsidR="00000000" w:rsidRPr="00000000">
        <w:commentReference w:id="1"/>
      </w:r>
      <w:hyperlink r:id="rId11">
        <w:r w:rsidDel="00000000" w:rsidR="00000000" w:rsidRPr="00000000">
          <w:rPr>
            <w:rFonts w:ascii="Avenir" w:cs="Avenir" w:eastAsia="Avenir" w:hAnsi="Avenir"/>
            <w:color w:val="1155cc"/>
            <w:sz w:val="15"/>
            <w:szCs w:val="15"/>
            <w:u w:val="single"/>
            <w:rtl w:val="0"/>
          </w:rPr>
          <w:t xml:space="preserve">m</w:t>
        </w:r>
      </w:hyperlink>
      <w:r w:rsidDel="00000000" w:rsidR="00000000" w:rsidRPr="00000000">
        <w:rPr>
          <w:rFonts w:ascii="Avenir" w:cs="Avenir" w:eastAsia="Avenir" w:hAnsi="Avenir"/>
          <w:color w:val="202122"/>
          <w:sz w:val="15"/>
          <w:szCs w:val="15"/>
          <w:rtl w:val="0"/>
        </w:rPr>
        <w:t xml:space="preserve"> </w:t>
      </w:r>
    </w:p>
    <w:p w:rsidR="00000000" w:rsidDel="00000000" w:rsidP="00000000" w:rsidRDefault="00000000" w:rsidRPr="00000000" w14:paraId="00000023">
      <w:pPr>
        <w:pBdr>
          <w:top w:color="000000" w:space="0" w:sz="0" w:val="none"/>
          <w:left w:color="000000" w:space="0" w:sz="0" w:val="none"/>
          <w:bottom w:color="000000" w:space="0" w:sz="0" w:val="none"/>
          <w:right w:color="000000" w:space="0" w:sz="0" w:val="none"/>
          <w:between w:color="000000" w:space="0" w:sz="0" w:val="none"/>
        </w:pBdr>
        <w:spacing w:after="240" w:line="240" w:lineRule="auto"/>
        <w:ind w:left="384.00000000000006"/>
        <w:rPr>
          <w:rFonts w:ascii="Avenir" w:cs="Avenir" w:eastAsia="Avenir" w:hAnsi="Avenir"/>
          <w:color w:val="202122"/>
          <w:sz w:val="15"/>
          <w:szCs w:val="15"/>
        </w:rPr>
      </w:pPr>
      <w:r w:rsidDel="00000000" w:rsidR="00000000" w:rsidRPr="00000000">
        <w:rPr>
          <w:rFonts w:ascii="Avenir" w:cs="Avenir" w:eastAsia="Avenir" w:hAnsi="Avenir"/>
          <w:color w:val="202122"/>
          <w:sz w:val="15"/>
          <w:szCs w:val="15"/>
          <w:rtl w:val="0"/>
        </w:rPr>
        <w:t xml:space="preserve">13.  </w:t>
        <w:tab/>
        <w:t xml:space="preserve">Han W, Deutsch I. Reconstruct a Scene in NVIDIA Isaac Sim Using Only a Smartphone. NVIDIA Technical Blog. Published October 23, 2025. Accessed March 9, 2026. </w:t>
      </w:r>
      <w:hyperlink r:id="rId12">
        <w:r w:rsidDel="00000000" w:rsidR="00000000" w:rsidRPr="00000000">
          <w:rPr>
            <w:rFonts w:ascii="Avenir" w:cs="Avenir" w:eastAsia="Avenir" w:hAnsi="Avenir"/>
            <w:color w:val="1155cc"/>
            <w:sz w:val="15"/>
            <w:szCs w:val="15"/>
            <w:u w:val="single"/>
            <w:rtl w:val="0"/>
          </w:rPr>
          <w:t xml:space="preserve">https://developer.nvidia.com/blog/reconstruct-a-scene-in-nvidia-isaac-sim-using-only-a-smartphone/</w:t>
        </w:r>
      </w:hyperlink>
      <w:r w:rsidDel="00000000" w:rsidR="00000000" w:rsidRPr="00000000">
        <w:rPr>
          <w:rtl w:val="0"/>
        </w:rPr>
      </w:r>
    </w:p>
    <w:p w:rsidR="00000000" w:rsidDel="00000000" w:rsidP="00000000" w:rsidRDefault="00000000" w:rsidRPr="00000000" w14:paraId="00000024">
      <w:pPr>
        <w:pBdr>
          <w:top w:color="000000" w:space="0" w:sz="0" w:val="none"/>
          <w:left w:color="000000" w:space="0" w:sz="0" w:val="none"/>
          <w:bottom w:color="000000" w:space="0" w:sz="0" w:val="none"/>
          <w:right w:color="000000" w:space="0" w:sz="0" w:val="none"/>
          <w:between w:color="000000" w:space="0" w:sz="0" w:val="none"/>
        </w:pBdr>
        <w:spacing w:after="240" w:line="240" w:lineRule="auto"/>
        <w:ind w:left="384.00000000000006"/>
        <w:rPr>
          <w:rFonts w:ascii="Avenir" w:cs="Avenir" w:eastAsia="Avenir" w:hAnsi="Avenir"/>
          <w:color w:val="202122"/>
          <w:sz w:val="15"/>
          <w:szCs w:val="15"/>
        </w:rPr>
      </w:pPr>
      <w:r w:rsidDel="00000000" w:rsidR="00000000" w:rsidRPr="00000000">
        <w:rPr>
          <w:rFonts w:ascii="Avenir" w:cs="Avenir" w:eastAsia="Avenir" w:hAnsi="Avenir"/>
          <w:color w:val="202122"/>
          <w:sz w:val="15"/>
          <w:szCs w:val="15"/>
          <w:rtl w:val="0"/>
        </w:rPr>
        <w:t xml:space="preserve">14.  </w:t>
        <w:tab/>
        <w:t xml:space="preserve">Vatankhah Barenji A, Liu X, Guo H, Li Z. A digital twin-driven approach towards smart manufacturing: reduced energy consumption for a robotic cell. Int J Comput Integr Manuf. 2021;34(7-8):844-859. doi:10.1080/0951192X.2020.1775297</w:t>
      </w:r>
    </w:p>
    <w:p w:rsidR="00000000" w:rsidDel="00000000" w:rsidP="00000000" w:rsidRDefault="00000000" w:rsidRPr="00000000" w14:paraId="00000025">
      <w:pPr>
        <w:pBdr>
          <w:top w:color="000000" w:space="0" w:sz="0" w:val="none"/>
          <w:left w:color="000000" w:space="0" w:sz="0" w:val="none"/>
          <w:bottom w:color="000000" w:space="0" w:sz="0" w:val="none"/>
          <w:right w:color="000000" w:space="0" w:sz="0" w:val="none"/>
          <w:between w:color="000000" w:space="0" w:sz="0" w:val="none"/>
        </w:pBdr>
        <w:spacing w:after="240" w:line="240" w:lineRule="auto"/>
        <w:ind w:left="384.00000000000006"/>
        <w:rPr>
          <w:rFonts w:ascii="Avenir" w:cs="Avenir" w:eastAsia="Avenir" w:hAnsi="Avenir"/>
          <w:color w:val="202122"/>
          <w:sz w:val="15"/>
          <w:szCs w:val="15"/>
        </w:rPr>
      </w:pPr>
      <w:r w:rsidDel="00000000" w:rsidR="00000000" w:rsidRPr="00000000">
        <w:rPr>
          <w:rFonts w:ascii="Avenir" w:cs="Avenir" w:eastAsia="Avenir" w:hAnsi="Avenir"/>
          <w:color w:val="202122"/>
          <w:sz w:val="15"/>
          <w:szCs w:val="15"/>
          <w:rtl w:val="0"/>
        </w:rPr>
        <w:t xml:space="preserve">15.  </w:t>
        <w:tab/>
        <w:t xml:space="preserve">Zhao L, Fang Y, Lou P, Yan J, Xiao A. Cutting Parameter Optimization for Reducing Carbon Emissions Using Digital Twin. Int J Precis Eng Manuf. 2021;22(5):933-949. doi:10.1007/s12541-021-00486-1</w:t>
      </w:r>
    </w:p>
    <w:p w:rsidR="00000000" w:rsidDel="00000000" w:rsidP="00000000" w:rsidRDefault="00000000" w:rsidRPr="00000000" w14:paraId="00000026">
      <w:pPr>
        <w:pBdr>
          <w:top w:color="000000" w:space="0" w:sz="0" w:val="none"/>
          <w:left w:color="000000" w:space="0" w:sz="0" w:val="none"/>
          <w:bottom w:color="000000" w:space="0" w:sz="0" w:val="none"/>
          <w:right w:color="000000" w:space="0" w:sz="0" w:val="none"/>
          <w:between w:color="000000" w:space="0" w:sz="0" w:val="none"/>
        </w:pBdr>
        <w:spacing w:after="240" w:line="240" w:lineRule="auto"/>
        <w:ind w:left="384.00000000000006"/>
        <w:rPr>
          <w:rFonts w:ascii="Avenir" w:cs="Avenir" w:eastAsia="Avenir" w:hAnsi="Avenir"/>
          <w:color w:val="202122"/>
          <w:sz w:val="15"/>
          <w:szCs w:val="15"/>
        </w:rPr>
      </w:pPr>
      <w:r w:rsidDel="00000000" w:rsidR="00000000" w:rsidRPr="00000000">
        <w:rPr>
          <w:rFonts w:ascii="Avenir" w:cs="Avenir" w:eastAsia="Avenir" w:hAnsi="Avenir"/>
          <w:color w:val="202122"/>
          <w:sz w:val="15"/>
          <w:szCs w:val="15"/>
          <w:rtl w:val="0"/>
        </w:rPr>
        <w:t xml:space="preserve">16.  </w:t>
        <w:tab/>
        <w:t xml:space="preserve">Kaniappan Chinnathai M, Alkan B. A digital life-cycle management framework for sustainable smart manufacturing in energy intensive industries. J Clean Prod. 2023;419:138259. doi:10.1016/j.jclepro.2023.138259</w:t>
      </w:r>
    </w:p>
    <w:p w:rsidR="00000000" w:rsidDel="00000000" w:rsidP="00000000" w:rsidRDefault="00000000" w:rsidRPr="00000000" w14:paraId="00000027">
      <w:pPr>
        <w:pBdr>
          <w:top w:color="000000" w:space="0" w:sz="0" w:val="none"/>
          <w:left w:color="000000" w:space="0" w:sz="0" w:val="none"/>
          <w:bottom w:color="000000" w:space="0" w:sz="0" w:val="none"/>
          <w:right w:color="000000" w:space="0" w:sz="0" w:val="none"/>
          <w:between w:color="000000" w:space="0" w:sz="0" w:val="none"/>
        </w:pBdr>
        <w:spacing w:after="240" w:line="240" w:lineRule="auto"/>
        <w:ind w:left="384.00000000000006"/>
        <w:rPr>
          <w:rFonts w:ascii="Avenir" w:cs="Avenir" w:eastAsia="Avenir" w:hAnsi="Avenir"/>
          <w:color w:val="202122"/>
          <w:sz w:val="15"/>
          <w:szCs w:val="15"/>
        </w:rPr>
      </w:pPr>
      <w:r w:rsidDel="00000000" w:rsidR="00000000" w:rsidRPr="00000000">
        <w:rPr>
          <w:rFonts w:ascii="Avenir" w:cs="Avenir" w:eastAsia="Avenir" w:hAnsi="Avenir"/>
          <w:color w:val="202122"/>
          <w:sz w:val="15"/>
          <w:szCs w:val="15"/>
          <w:rtl w:val="0"/>
        </w:rPr>
        <w:t xml:space="preserve">17.  </w:t>
        <w:tab/>
        <w:t xml:space="preserve">Ghobakhloo M, Fathi M. Industry 4.0 and opportunities for energy sustainability. J Clean Prod. 2021;295:126427. doi:10.1016/j.jclepro.2021.126427</w:t>
      </w:r>
    </w:p>
    <w:p w:rsidR="00000000" w:rsidDel="00000000" w:rsidP="00000000" w:rsidRDefault="00000000" w:rsidRPr="00000000" w14:paraId="00000028">
      <w:pPr>
        <w:pBdr>
          <w:top w:color="000000" w:space="0" w:sz="0" w:val="none"/>
          <w:left w:color="000000" w:space="0" w:sz="0" w:val="none"/>
          <w:bottom w:color="000000" w:space="0" w:sz="0" w:val="none"/>
          <w:right w:color="000000" w:space="0" w:sz="0" w:val="none"/>
          <w:between w:color="000000" w:space="0" w:sz="0" w:val="none"/>
        </w:pBdr>
        <w:spacing w:after="240" w:line="240" w:lineRule="auto"/>
        <w:ind w:left="384.00000000000006"/>
        <w:rPr>
          <w:rFonts w:ascii="Avenir" w:cs="Avenir" w:eastAsia="Avenir" w:hAnsi="Avenir"/>
          <w:color w:val="202122"/>
          <w:sz w:val="15"/>
          <w:szCs w:val="15"/>
        </w:rPr>
      </w:pPr>
      <w:r w:rsidDel="00000000" w:rsidR="00000000" w:rsidRPr="00000000">
        <w:rPr>
          <w:rFonts w:ascii="Avenir" w:cs="Avenir" w:eastAsia="Avenir" w:hAnsi="Avenir"/>
          <w:color w:val="202122"/>
          <w:sz w:val="15"/>
          <w:szCs w:val="15"/>
          <w:rtl w:val="0"/>
        </w:rPr>
        <w:t xml:space="preserve">18.  </w:t>
        <w:tab/>
        <w:t xml:space="preserve">Sharma A, Kosasih E, Zhang J, Brintrup A, Calinescu A. Digital Twins: State of the art theory and practice, challenges, and open research questions. J Ind Inf Integr. 2022;30:100383. doi:10.1016/j.jii.2022.100383</w:t>
      </w:r>
    </w:p>
    <w:p w:rsidR="00000000" w:rsidDel="00000000" w:rsidP="00000000" w:rsidRDefault="00000000" w:rsidRPr="00000000" w14:paraId="00000029">
      <w:pPr>
        <w:pBdr>
          <w:top w:color="000000" w:space="0" w:sz="0" w:val="none"/>
          <w:left w:color="000000" w:space="0" w:sz="0" w:val="none"/>
          <w:bottom w:color="000000" w:space="0" w:sz="0" w:val="none"/>
          <w:right w:color="000000" w:space="0" w:sz="0" w:val="none"/>
          <w:between w:color="000000" w:space="0" w:sz="0" w:val="none"/>
        </w:pBdr>
        <w:spacing w:after="240" w:line="240" w:lineRule="auto"/>
        <w:ind w:left="384.00000000000006"/>
        <w:rPr>
          <w:rFonts w:ascii="Avenir" w:cs="Avenir" w:eastAsia="Avenir" w:hAnsi="Avenir"/>
          <w:color w:val="202122"/>
          <w:sz w:val="15"/>
          <w:szCs w:val="15"/>
        </w:rPr>
      </w:pPr>
      <w:r w:rsidDel="00000000" w:rsidR="00000000" w:rsidRPr="00000000">
        <w:rPr>
          <w:rFonts w:ascii="Avenir" w:cs="Avenir" w:eastAsia="Avenir" w:hAnsi="Avenir"/>
          <w:color w:val="202122"/>
          <w:sz w:val="15"/>
          <w:szCs w:val="15"/>
          <w:rtl w:val="0"/>
        </w:rPr>
        <w:t xml:space="preserve">19.  </w:t>
        <w:tab/>
        <w:t xml:space="preserve">Fuller A, Fan Z, Day C, Barlow C. Digital Twin: Enabling Technologies, Challenges and Open Research. IEEE Access. 2020;8:108952-108971. doi:10.1109/ACCESS.2020.2998358</w:t>
      </w:r>
    </w:p>
    <w:p w:rsidR="00000000" w:rsidDel="00000000" w:rsidP="00000000" w:rsidRDefault="00000000" w:rsidRPr="00000000" w14:paraId="0000002A">
      <w:pPr>
        <w:pBdr>
          <w:top w:color="000000" w:space="0" w:sz="0" w:val="none"/>
          <w:left w:color="000000" w:space="0" w:sz="0" w:val="none"/>
          <w:bottom w:color="000000" w:space="0" w:sz="0" w:val="none"/>
          <w:right w:color="000000" w:space="0" w:sz="0" w:val="none"/>
          <w:between w:color="000000" w:space="0" w:sz="0" w:val="none"/>
        </w:pBdr>
        <w:spacing w:after="240" w:line="240" w:lineRule="auto"/>
        <w:ind w:left="384.00000000000006"/>
        <w:rPr>
          <w:rFonts w:ascii="Avenir" w:cs="Avenir" w:eastAsia="Avenir" w:hAnsi="Avenir"/>
          <w:color w:val="202122"/>
          <w:sz w:val="15"/>
          <w:szCs w:val="15"/>
        </w:rPr>
      </w:pPr>
      <w:r w:rsidDel="00000000" w:rsidR="00000000" w:rsidRPr="00000000">
        <w:rPr>
          <w:rFonts w:ascii="Avenir" w:cs="Avenir" w:eastAsia="Avenir" w:hAnsi="Avenir"/>
          <w:color w:val="202122"/>
          <w:sz w:val="15"/>
          <w:szCs w:val="15"/>
          <w:rtl w:val="0"/>
        </w:rPr>
        <w:t xml:space="preserve">20.  </w:t>
        <w:tab/>
        <w:t xml:space="preserve">Wei Y, Hu T, Zhou T, Ye Y, Luo W. Consistency retention method for CNC machine tool digital twin model. J Manuf Syst. 2021;58:313-322. doi:10.1016/j.jmsy.2020.06.002</w:t>
      </w:r>
    </w:p>
    <w:p w:rsidR="00000000" w:rsidDel="00000000" w:rsidP="00000000" w:rsidRDefault="00000000" w:rsidRPr="00000000" w14:paraId="0000002B">
      <w:pPr>
        <w:pBdr>
          <w:top w:color="000000" w:space="0" w:sz="0" w:val="none"/>
          <w:left w:color="000000" w:space="0" w:sz="0" w:val="none"/>
          <w:bottom w:color="000000" w:space="0" w:sz="0" w:val="none"/>
          <w:right w:color="000000" w:space="0" w:sz="0" w:val="none"/>
          <w:between w:color="000000" w:space="0" w:sz="0" w:val="none"/>
        </w:pBdr>
        <w:spacing w:after="240" w:line="240" w:lineRule="auto"/>
        <w:ind w:left="384.00000000000006"/>
        <w:rPr>
          <w:rFonts w:ascii="Avenir" w:cs="Avenir" w:eastAsia="Avenir" w:hAnsi="Avenir"/>
          <w:color w:val="202122"/>
          <w:sz w:val="15"/>
          <w:szCs w:val="15"/>
        </w:rPr>
      </w:pPr>
      <w:r w:rsidDel="00000000" w:rsidR="00000000" w:rsidRPr="00000000">
        <w:rPr>
          <w:rFonts w:ascii="Avenir" w:cs="Avenir" w:eastAsia="Avenir" w:hAnsi="Avenir"/>
          <w:color w:val="202122"/>
          <w:sz w:val="15"/>
          <w:szCs w:val="15"/>
          <w:rtl w:val="0"/>
        </w:rPr>
        <w:t xml:space="preserve">21.  </w:t>
        <w:tab/>
        <w:t xml:space="preserve">Ba L, Tangour F, El Abbassi I, Absi R. Analysis of Digital Twin Applications in Energy Efficiency: A Systematic Review. Sustainability. 2025;17(8):3560. doi:10.3390/su17083560</w:t>
      </w:r>
    </w:p>
    <w:p w:rsidR="00000000" w:rsidDel="00000000" w:rsidP="00000000" w:rsidRDefault="00000000" w:rsidRPr="00000000" w14:paraId="0000002C">
      <w:pPr>
        <w:pBdr>
          <w:top w:color="000000" w:space="0" w:sz="0" w:val="none"/>
          <w:left w:color="000000" w:space="0" w:sz="0" w:val="none"/>
          <w:bottom w:color="000000" w:space="0" w:sz="0" w:val="none"/>
          <w:right w:color="000000" w:space="0" w:sz="0" w:val="none"/>
          <w:between w:color="000000" w:space="0" w:sz="0" w:val="none"/>
        </w:pBdr>
        <w:spacing w:after="240" w:line="240" w:lineRule="auto"/>
        <w:ind w:left="384.00000000000006"/>
        <w:rPr>
          <w:rFonts w:ascii="Avenir" w:cs="Avenir" w:eastAsia="Avenir" w:hAnsi="Avenir"/>
          <w:color w:val="202122"/>
          <w:sz w:val="15"/>
          <w:szCs w:val="15"/>
        </w:rPr>
      </w:pPr>
      <w:r w:rsidDel="00000000" w:rsidR="00000000" w:rsidRPr="00000000">
        <w:rPr>
          <w:rFonts w:ascii="Avenir" w:cs="Avenir" w:eastAsia="Avenir" w:hAnsi="Avenir"/>
          <w:color w:val="202122"/>
          <w:sz w:val="15"/>
          <w:szCs w:val="15"/>
          <w:rtl w:val="0"/>
        </w:rPr>
        <w:t xml:space="preserve">22.  </w:t>
        <w:tab/>
        <w:t xml:space="preserve">Martina Hatzel. BMW Group at NVIDIA GTC: Virtual production under way in future plant Debrecen. Published March 21, 2023. Accessed March 31, 2026. </w:t>
      </w:r>
      <w:hyperlink r:id="rId13">
        <w:r w:rsidDel="00000000" w:rsidR="00000000" w:rsidRPr="00000000">
          <w:rPr>
            <w:rFonts w:ascii="Avenir" w:cs="Avenir" w:eastAsia="Avenir" w:hAnsi="Avenir"/>
            <w:color w:val="1155cc"/>
            <w:sz w:val="15"/>
            <w:szCs w:val="15"/>
            <w:u w:val="single"/>
            <w:rtl w:val="0"/>
          </w:rPr>
          <w:t xml:space="preserve">https://www.press.bmwgroup.com/global/article/detail/T0411467EN/bmw-group-at-nvidia-gtc:-virtual-production-under-way-in-future-plant-debrecen?language=en</w:t>
        </w:r>
      </w:hyperlink>
      <w:r w:rsidDel="00000000" w:rsidR="00000000" w:rsidRPr="00000000">
        <w:rPr>
          <w:rtl w:val="0"/>
        </w:rPr>
      </w:r>
    </w:p>
    <w:p w:rsidR="00000000" w:rsidDel="00000000" w:rsidP="00000000" w:rsidRDefault="00000000" w:rsidRPr="00000000" w14:paraId="0000002D">
      <w:pPr>
        <w:pBdr>
          <w:top w:color="000000" w:space="0" w:sz="0" w:val="none"/>
          <w:left w:color="000000" w:space="0" w:sz="0" w:val="none"/>
          <w:bottom w:color="000000" w:space="0" w:sz="0" w:val="none"/>
          <w:right w:color="000000" w:space="0" w:sz="0" w:val="none"/>
          <w:between w:color="000000" w:space="0" w:sz="0" w:val="none"/>
        </w:pBdr>
        <w:spacing w:after="240" w:line="240" w:lineRule="auto"/>
        <w:ind w:left="384.00000000000006"/>
        <w:rPr>
          <w:rFonts w:ascii="Avenir" w:cs="Avenir" w:eastAsia="Avenir" w:hAnsi="Avenir"/>
          <w:color w:val="202122"/>
          <w:sz w:val="15"/>
          <w:szCs w:val="15"/>
        </w:rPr>
      </w:pPr>
      <w:r w:rsidDel="00000000" w:rsidR="00000000" w:rsidRPr="00000000">
        <w:rPr>
          <w:rFonts w:ascii="Avenir" w:cs="Avenir" w:eastAsia="Avenir" w:hAnsi="Avenir"/>
          <w:color w:val="202122"/>
          <w:sz w:val="15"/>
          <w:szCs w:val="15"/>
          <w:rtl w:val="0"/>
        </w:rPr>
        <w:t xml:space="preserve">23. </w:t>
        <w:tab/>
        <w:t xml:space="preserve">European Commission. Chapter 2 - The EU Emission Trading System. Published March 31, 2026. Accessed March 31, 2026. </w:t>
      </w:r>
      <w:hyperlink r:id="rId14">
        <w:r w:rsidDel="00000000" w:rsidR="00000000" w:rsidRPr="00000000">
          <w:rPr>
            <w:rFonts w:ascii="Avenir" w:cs="Avenir" w:eastAsia="Avenir" w:hAnsi="Avenir"/>
            <w:color w:val="1155cc"/>
            <w:sz w:val="15"/>
            <w:szCs w:val="15"/>
            <w:u w:val="single"/>
            <w:rtl w:val="0"/>
          </w:rPr>
          <w:t xml:space="preserve">https://climate.ec.europa.eu/eu-action/climate-strategies-targets/progress-climate-action/eu-climate-action-progress-report-2025/chapter-2-eu-emission-trading-system_en</w:t>
        </w:r>
      </w:hyperlink>
      <w:r w:rsidDel="00000000" w:rsidR="00000000" w:rsidRPr="00000000">
        <w:rPr>
          <w:rtl w:val="0"/>
        </w:rPr>
      </w:r>
    </w:p>
    <w:p w:rsidR="00000000" w:rsidDel="00000000" w:rsidP="00000000" w:rsidRDefault="00000000" w:rsidRPr="00000000" w14:paraId="0000002E">
      <w:pPr>
        <w:pBdr>
          <w:top w:color="000000" w:space="0" w:sz="0" w:val="none"/>
          <w:left w:color="000000" w:space="0" w:sz="0" w:val="none"/>
          <w:bottom w:color="000000" w:space="0" w:sz="0" w:val="none"/>
          <w:right w:color="000000" w:space="0" w:sz="0" w:val="none"/>
          <w:between w:color="000000" w:space="0" w:sz="0" w:val="none"/>
        </w:pBdr>
        <w:spacing w:after="240" w:line="240" w:lineRule="auto"/>
        <w:ind w:left="384.00000000000006"/>
        <w:rPr>
          <w:rFonts w:ascii="Avenir" w:cs="Avenir" w:eastAsia="Avenir" w:hAnsi="Avenir"/>
          <w:color w:val="202122"/>
          <w:sz w:val="15"/>
          <w:szCs w:val="15"/>
        </w:rPr>
      </w:pPr>
      <w:r w:rsidDel="00000000" w:rsidR="00000000" w:rsidRPr="00000000">
        <w:rPr>
          <w:rFonts w:ascii="Avenir" w:cs="Avenir" w:eastAsia="Avenir" w:hAnsi="Avenir"/>
          <w:color w:val="202122"/>
          <w:sz w:val="15"/>
          <w:szCs w:val="15"/>
          <w:rtl w:val="0"/>
        </w:rPr>
        <w:t xml:space="preserve">24. </w:t>
        <w:tab/>
        <w:t xml:space="preserve">European Commission. Corporate sustainability reporting. Published March 31, 2026. Accessed March 31, 2026. https://finance.ec.europa.eu/financial-markets/company-reporting-and-auditing/company-reporting/corporate-sustainability-reporting_en</w:t>
      </w:r>
    </w:p>
    <w:p w:rsidR="00000000" w:rsidDel="00000000" w:rsidP="00000000" w:rsidRDefault="00000000" w:rsidRPr="00000000" w14:paraId="0000002F">
      <w:pPr>
        <w:pBdr>
          <w:top w:color="000000" w:space="0" w:sz="0" w:val="none"/>
          <w:left w:color="000000" w:space="0" w:sz="0" w:val="none"/>
          <w:bottom w:color="000000" w:space="0" w:sz="0" w:val="none"/>
          <w:right w:color="000000" w:space="0" w:sz="0" w:val="none"/>
          <w:between w:color="000000" w:space="0" w:sz="0" w:val="none"/>
        </w:pBdr>
        <w:spacing w:after="240" w:line="240" w:lineRule="auto"/>
        <w:ind w:left="384.00000000000006"/>
        <w:rPr>
          <w:rFonts w:ascii="Avenir" w:cs="Avenir" w:eastAsia="Avenir" w:hAnsi="Avenir"/>
          <w:color w:val="202122"/>
          <w:sz w:val="15"/>
          <w:szCs w:val="15"/>
        </w:rPr>
      </w:pPr>
      <w:r w:rsidDel="00000000" w:rsidR="00000000" w:rsidRPr="00000000">
        <w:rPr>
          <w:rtl w:val="0"/>
        </w:rPr>
      </w:r>
    </w:p>
    <w:p w:rsidR="00000000" w:rsidDel="00000000" w:rsidP="00000000" w:rsidRDefault="00000000" w:rsidRPr="00000000" w14:paraId="00000030">
      <w:pPr>
        <w:pBdr>
          <w:top w:color="000000" w:space="0" w:sz="0" w:val="none"/>
          <w:left w:color="000000" w:space="0" w:sz="0" w:val="none"/>
          <w:bottom w:color="000000" w:space="0" w:sz="0" w:val="none"/>
          <w:right w:color="000000" w:space="0" w:sz="0" w:val="none"/>
          <w:between w:color="000000" w:space="0" w:sz="0" w:val="none"/>
        </w:pBdr>
        <w:spacing w:after="240" w:line="240" w:lineRule="auto"/>
        <w:ind w:left="384.00000000000006"/>
        <w:rPr>
          <w:rFonts w:ascii="Avenir" w:cs="Avenir" w:eastAsia="Avenir" w:hAnsi="Avenir"/>
          <w:color w:val="202122"/>
          <w:sz w:val="15"/>
          <w:szCs w:val="15"/>
        </w:rPr>
      </w:pPr>
      <w:r w:rsidDel="00000000" w:rsidR="00000000" w:rsidRPr="00000000">
        <w:rPr>
          <w:rtl w:val="0"/>
        </w:rPr>
      </w:r>
    </w:p>
    <w:sectPr>
      <w:pgSz w:h="15840" w:w="12240" w:orient="portrait"/>
      <w:pgMar w:bottom="1440" w:top="1440" w:left="1440" w:right="1440"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Giulia Balzaretti" w:id="0" w:date="2026-03-31T12:53:04Z">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These two sources are the same!! Make sure to update the numbers referenced in the text accordingly.</w:t>
      </w:r>
    </w:p>
  </w:comment>
  <w:comment w:author="Giulia Balzaretti" w:id="1" w:date="2026-03-31T12:53:04Z">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These two sources are the same!! Make sure to update the numbers referenced in the text accordingly.</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press.siemens.com/global/en/pressrelease/siemens-and-nvidia-expand-partnership-build-industrial-ai-operating-system" TargetMode="External"/><Relationship Id="rId10" Type="http://schemas.openxmlformats.org/officeDocument/2006/relationships/hyperlink" Target="https://press.siemens.com/global/en/pressrelease/siemens-and-nvidia-expand-partnership-build-industrial-ai-operating-system" TargetMode="External"/><Relationship Id="rId13" Type="http://schemas.openxmlformats.org/officeDocument/2006/relationships/hyperlink" Target="https://www.press.bmwgroup.com/global/article/detail/T0411467EN/bmw-group-at-nvidia-gtc:-virtual-production-under-way-in-future-plant-debrecen?language=en" TargetMode="External"/><Relationship Id="rId12" Type="http://schemas.openxmlformats.org/officeDocument/2006/relationships/hyperlink" Target="https://developer.nvidia.com/blog/reconstruct-a-scene-in-nvidia-isaac-sim-using-only-a-smartphone/" TargetMode="External"/><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press.siemens.com/global/en/pressrelease/siemens-and-nvidia-expand-partnership-build-industrial-ai-operating-system" TargetMode="External"/><Relationship Id="rId14" Type="http://schemas.openxmlformats.org/officeDocument/2006/relationships/hyperlink" Target="https://climate.ec.europa.eu/eu-action/climate-strategies-targets/progress-climate-action/eu-climate-action-progress-report-2025/chapter-2-eu-emission-trading-system_en"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blogs.nvidia.com/blog/omniverse-dsx-blueprint/" TargetMode="External"/><Relationship Id="rId8" Type="http://schemas.openxmlformats.org/officeDocument/2006/relationships/hyperlink" Target="https://press.siemens.com/global/en/pressrelease/siemens-and-nvidia-expand-partnership-build-industrial-ai-operating-syste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