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0" w:firstLine="0"/>
        <w:jc w:val="both"/>
        <w:rPr>
          <w:rFonts w:ascii="Avenir" w:cs="Avenir" w:eastAsia="Avenir" w:hAnsi="Avenir"/>
          <w:b w:val="1"/>
          <w:bCs w:val="1"/>
          <w:color w:val="5b9bd5"/>
          <w:sz w:val="24"/>
          <w:szCs w:val="24"/>
        </w:rPr>
      </w:pPr>
      <w:bookmarkStart w:colFirst="0" w:colLast="0" w:name="_a57dqyydf1h4" w:id="0"/>
      <w:bookmarkEnd w:id="0"/>
      <w:r w:rsidDel="00000000" w:rsidR="00000000" w:rsidRPr="00000000">
        <w:rPr>
          <w:rFonts w:ascii="Avenir" w:cs="Avenir" w:eastAsia="Avenir" w:hAnsi="Avenir"/>
          <w:b w:val="1"/>
          <w:bCs w:val="1"/>
          <w:color w:val="5b9bd5"/>
          <w:sz w:val="24"/>
          <w:szCs w:val="24"/>
          <w:rtl w:val="0"/>
        </w:rPr>
        <w:t xml:space="preserve">Accelerating Materials Discovery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Subtitle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="360" w:lineRule="auto"/>
        <w:jc w:val="both"/>
        <w:rPr>
          <w:rFonts w:ascii="Avenir" w:cs="Avenir" w:eastAsia="Avenir" w:hAnsi="Avenir"/>
          <w:color w:val="3c3f42"/>
          <w:sz w:val="18"/>
          <w:szCs w:val="18"/>
        </w:rPr>
      </w:pPr>
      <w:bookmarkStart w:colFirst="0" w:colLast="0" w:name="_bow3maj4j5hr" w:id="1"/>
      <w:bookmarkEnd w:id="1"/>
      <w:r w:rsidDel="00000000" w:rsidR="00000000" w:rsidRPr="00000000">
        <w:rPr>
          <w:rFonts w:ascii="Avenir" w:cs="Avenir" w:eastAsia="Avenir" w:hAnsi="Avenir"/>
          <w:color w:val="3c3f42"/>
          <w:sz w:val="18"/>
          <w:szCs w:val="18"/>
          <w:rtl w:val="0"/>
        </w:rPr>
        <w:t xml:space="preserve">Shifting from Empirical Research to Decentralized Self-Driving Labs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  <w:vertAlign w:val="superscript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The discovery of sustainable materials is critical for the transition towards sustainability. Historically, this process relied on trial-and-error laboratory experimentation [1], but materials science is now shifting toward machine learning and generative models that enable researchers to rapidly predict new material compounds [1,2]. By autonomously synthesizing and proposing structures on demand, these technologies can augment large parts of the traditional scientific method with intelligent, data-driven design [3,4]. As a result, the development cycle for new materials can be shortened, enabling the identification of high-performance materials for the next generation of industrial applications [2]. However, most industries face a bottleneck when translating these lab-scale breakthroughs into larger settings [5]. A formulation engineered in a controlled lab frequently fails when exposed to the operational complexities of an asset-heavy factory [6]. The physical and organizational divide between research and production is already being tackled with end-to-end digital pipelines encompassing discovery, prototyping, and scale-up [7]. The lab-to-production transition can be de-risked using digital twin simulations before committing physical resources [7,11].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2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240" w:line="36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bookmarkStart w:colFirst="0" w:colLast="0" w:name="_842vbkxem9ln" w:id="2"/>
      <w:bookmarkEnd w:id="2"/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Facts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AI paired with cloud computing enables researchers to quickly navigate more than 32M candidates and predict around 0.5M potentially stable materials for clean energy applications, such as solid-state batteries, in less than 80 hours [1].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Recent research shows that deep learning models can achieve ~20% higher accuracy than traditional ML approaches when screening compounds from natural sources, highlighting AI's potential to accelerate biomaterial discovery [3].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Prototype platforms like "Polybot" use AI-driven robots to perform experiments without human intervention, linking local physical synthesis with remote compute facilities [8].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2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240" w:line="36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bookmarkStart w:colFirst="0" w:colLast="0" w:name="_7oaedky4gzpp" w:id="3"/>
      <w:bookmarkEnd w:id="3"/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Key Drivers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In chemical and materials discovery, AI is expected to expand the search space and accelerate R&amp;D throughput by up to 75%, while generative design, paired with in-silico evaluation, reduces physical resource demand [9].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The EU Chemicals Strategy for Sustainability (CSS) and Safe and Sustainable by Design (SSbD) frameworks push industry to consider life-cycle-wide safety and environmental impact from the start, instead of retrospectively [10].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Automated screening enables evaluation across environmental footprint and supply chain vulnerability, prioritizing non-scarce raw materials with lower ecotoxicity and greenhouse gas intensity [10].</w:t>
      </w:r>
    </w:p>
    <w:p w:rsidR="00000000" w:rsidDel="00000000" w:rsidP="00000000" w:rsidRDefault="00000000" w:rsidRPr="00000000" w14:paraId="0000000C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Style w:val="Heading2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240" w:line="36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bookmarkStart w:colFirst="0" w:colLast="0" w:name="_4uh2xiwatnbt" w:id="4"/>
      <w:bookmarkEnd w:id="4"/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Challenges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Finding a promising material digitally does not guarantee it will scale [5,6]. Despite advances in AI-driven discovery, examples of computationally designed materials put into production remain rare [1].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Autonomous synthesis setups face physical and chemical constraints, limiting the range of replicable conditions. Simulations struggle to bridge this gap as data to model extreme conditions is scarce and fragmented [7].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SSbD requires environmental assessment from production to end-of-life. The framework demands early sustainability assessment, but the necessary data only becomes available as Technology Readiness Levels (TRL) increase [10].</w:t>
      </w:r>
    </w:p>
    <w:p w:rsidR="00000000" w:rsidDel="00000000" w:rsidP="00000000" w:rsidRDefault="00000000" w:rsidRPr="00000000" w14:paraId="00000011">
      <w:pPr>
        <w:pStyle w:val="Heading2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240" w:line="36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bookmarkStart w:colFirst="0" w:colLast="0" w:name="_b5w5q25jjf3x" w:id="5"/>
      <w:bookmarkEnd w:id="5"/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Impact on Industrial AI</w:t>
      </w:r>
    </w:p>
    <w:p w:rsidR="00000000" w:rsidDel="00000000" w:rsidP="00000000" w:rsidRDefault="00000000" w:rsidRPr="00000000" w14:paraId="0000001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AI-driven materials discovery drives a structural shift in industry, moving discovery out of centralized research settings and embedding it more closely with the operations of manufacturers [6,7]. Because centralized computing infrastructure alone cannot capture the full complexity of factory-floor conditions [5,6], the field is moving toward decentralized, self-driving laboratories [12,13]. These platforms couple generative design with robotic synthesis so that new materials are tested and refined directly against production-relevant variables [2,6,7]. Research and manufacturing are merged into a closed loop, allowing industries to scale materials more efficiently and predictably [9,10,14].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Style w:val="Heading2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after="220" w:before="240" w:line="36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bookmarkStart w:colFirst="0" w:colLast="0" w:name="_ri517fda81cs" w:id="6"/>
      <w:bookmarkEnd w:id="6"/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References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00"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3c3f42"/>
          <w:sz w:val="15"/>
          <w:szCs w:val="15"/>
          <w:rtl w:val="0"/>
        </w:rPr>
        <w:t xml:space="preserve">Chen C, Nguyen DT, Lee SJ, Baker NA, Karakoti AS, Lauw L, et al. Accelerating computational materials discovery with machine learning and cloud high-performance computing: from large-scale screening to experimental validation. J Am Chem Soc. 2024;146(29):20009–20018. doi:10.1021/jacs.4c03849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00"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3c3f42"/>
          <w:sz w:val="15"/>
          <w:szCs w:val="15"/>
          <w:rtl w:val="0"/>
        </w:rPr>
        <w:t xml:space="preserve">Xie E, Wang X, Siepmann JI, Chen H, Snurr RQ. Generative AI for design of nanoporous materials: review and future prospects. Digital Discov. 2025;4(9):2336-2363. doi:10.1039/d5dd00221d 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00"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3c3f42"/>
          <w:sz w:val="15"/>
          <w:szCs w:val="15"/>
          <w:rtl w:val="0"/>
        </w:rPr>
        <w:t xml:space="preserve">Wei D, Wang Z, Lin H, Yin XP, Wang Y. Research progress in artificial intelligence-assisted preparation of high-quality biomaterials. ACS Omega. 2026. doi:10.1021/acsomega.5c09392 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00"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3c3f42"/>
          <w:sz w:val="15"/>
          <w:szCs w:val="15"/>
          <w:rtl w:val="0"/>
        </w:rPr>
        <w:t xml:space="preserve">Ozcan A, Coudert F, Rogge SMJ, Heydenrych G, Fan D, Sarikas AP, et al. Artificial intelligence paradigms for next-generation metal–organic framework research. J Am Chem Soc. 2025;147(27):23367-23380. doi:10.1021/jacs.5c08214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00"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3c3f42"/>
          <w:sz w:val="15"/>
          <w:szCs w:val="15"/>
          <w:rtl w:val="0"/>
        </w:rPr>
        <w:t xml:space="preserve">Alampara N, Schilling-Wilhelmi M, Jablonka KM. Lessons from the trenches on evaluating machine learning systems in materials science. Comput Mater Sci. 2025;259:114041. doi:10.1016/j.commatsci.2025.114041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00"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3c3f42"/>
          <w:sz w:val="15"/>
          <w:szCs w:val="15"/>
          <w:rtl w:val="0"/>
        </w:rPr>
        <w:t xml:space="preserve">Low AKY, Cheng JJW, Hippalgaonkar K, Ng LWT. Self-driving laboratories: translating materials science from laboratory to factory. ACS Omega. 2025;10(28):29902–29908. doi:10.1021/acsomega.5c02197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00"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3c3f42"/>
          <w:sz w:val="15"/>
          <w:szCs w:val="15"/>
          <w:rtl w:val="0"/>
        </w:rPr>
        <w:t xml:space="preserve">Hung L, Yager JA, Monteverde D, Baiocchi D, Kwon H, Sun S, Suram S. Autonomous laboratories for accelerated materials discovery: a community survey and practical insights. Digital Discov. 2024;3:1273–1295. doi:10.1039/D4DD00059E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00"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3c3f42"/>
          <w:sz w:val="15"/>
          <w:szCs w:val="15"/>
          <w:rtl w:val="0"/>
        </w:rPr>
        <w:t xml:space="preserve">Vriza A, Chan H, Xu J. Self-driving laboratory for polymer electronics. Chem Mater. 2023;35(8):3046-3056. doi:10.1021/acs.chemmater.2c03593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00"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3c3f42"/>
          <w:sz w:val="15"/>
          <w:szCs w:val="15"/>
          <w:rtl w:val="0"/>
        </w:rPr>
        <w:t xml:space="preserve">Singla A, Sukharevsky A, Berteletti E, Yee L, Chui M. The next innovation revolution—powered by AI. McKinsey. Published June 20, 2025. Accessed March 30, 2026. </w:t>
      </w:r>
      <w:hyperlink r:id="rId6">
        <w:r w:rsidDel="00000000" w:rsidR="00000000" w:rsidRPr="00000000">
          <w:rPr>
            <w:rFonts w:ascii="Avenir" w:cs="Avenir" w:eastAsia="Avenir" w:hAnsi="Avenir"/>
            <w:b w:val="1"/>
            <w:bCs w:val="1"/>
            <w:color w:val="1155cc"/>
            <w:sz w:val="15"/>
            <w:szCs w:val="15"/>
            <w:u w:val="single"/>
            <w:rtl w:val="0"/>
          </w:rPr>
          <w:t xml:space="preserve">https://www.mckinsey.com/capabilities/quantumblack/our-insights/the-next-innovation-revolution-powered-by-ai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00"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3c3f42"/>
          <w:sz w:val="15"/>
          <w:szCs w:val="15"/>
          <w:rtl w:val="0"/>
        </w:rPr>
        <w:t xml:space="preserve">Abbate E, Garmendia Aguirre I, Bracalente G, et al. Safe and Sustainable by Design Chemicals and Materials: Methodological Guidance. EUR 31942 EN. Publications Office of the European Union; 2024. doi:10.2760/28450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00"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3c3f42"/>
          <w:sz w:val="15"/>
          <w:szCs w:val="15"/>
          <w:rtl w:val="0"/>
        </w:rPr>
        <w:t xml:space="preserve">Zhao T, Zeng Y. Digital twins for self-driving chemistry laboratories. Nat Comput Sci. 2026;6:15–16. doi:10.1038/s43588-025-00908-4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00" w:line="240" w:lineRule="auto"/>
        <w:ind w:left="720" w:hanging="360"/>
        <w:rPr>
          <w:rFonts w:ascii="Avenir" w:cs="Avenir" w:eastAsia="Avenir" w:hAnsi="Avenir"/>
          <w:b w:val="1"/>
          <w:bCs w:val="1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3c3f42"/>
          <w:sz w:val="15"/>
          <w:szCs w:val="15"/>
          <w:rtl w:val="0"/>
        </w:rPr>
        <w:t xml:space="preserve">Tobias AV, Wahab A. Autonomous 'self-driving' laboratories: a review of technology and policy implications. </w:t>
      </w:r>
      <w:r w:rsidDel="00000000" w:rsidR="00000000" w:rsidRPr="00000000">
        <w:rPr>
          <w:rFonts w:ascii="Avenir" w:cs="Avenir" w:eastAsia="Avenir" w:hAnsi="Avenir"/>
          <w:b w:val="1"/>
          <w:bCs w:val="1"/>
          <w:i w:val="1"/>
          <w:iCs w:val="1"/>
          <w:color w:val="3c3f42"/>
          <w:sz w:val="15"/>
          <w:szCs w:val="15"/>
          <w:rtl w:val="0"/>
        </w:rPr>
        <w:t xml:space="preserve">R Soc Open Sci.</w:t>
      </w:r>
      <w:r w:rsidDel="00000000" w:rsidR="00000000" w:rsidRPr="00000000">
        <w:rPr>
          <w:rFonts w:ascii="Avenir" w:cs="Avenir" w:eastAsia="Avenir" w:hAnsi="Avenir"/>
          <w:b w:val="1"/>
          <w:bCs w:val="1"/>
          <w:color w:val="3c3f42"/>
          <w:sz w:val="15"/>
          <w:szCs w:val="15"/>
          <w:rtl w:val="0"/>
        </w:rPr>
        <w:t xml:space="preserve"> 2025;12(7):250646. doi:10.1098/rsos.250646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00" w:line="240" w:lineRule="auto"/>
        <w:ind w:left="720" w:hanging="360"/>
        <w:rPr>
          <w:rFonts w:ascii="Avenir" w:cs="Avenir" w:eastAsia="Avenir" w:hAnsi="Avenir"/>
          <w:b w:val="1"/>
          <w:bCs w:val="1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3c3f42"/>
          <w:sz w:val="15"/>
          <w:szCs w:val="15"/>
          <w:rtl w:val="0"/>
        </w:rPr>
        <w:t xml:space="preserve">Tom G, Schmid SP, Baird SG, Cao Y, Darvish K, Hao H, Lo S, Pablo-García S, Rajaonson EM, Skreta M, Yoshikawa N, Corapi S, Akkoc GD, Strieth-Kalthoff F, Seifrid M, Aspuru-Guzik A. Self-driving laboratories for chemistry and materials science. </w:t>
      </w:r>
      <w:r w:rsidDel="00000000" w:rsidR="00000000" w:rsidRPr="00000000">
        <w:rPr>
          <w:rFonts w:ascii="Avenir" w:cs="Avenir" w:eastAsia="Avenir" w:hAnsi="Avenir"/>
          <w:b w:val="1"/>
          <w:bCs w:val="1"/>
          <w:i w:val="1"/>
          <w:iCs w:val="1"/>
          <w:color w:val="3c3f42"/>
          <w:sz w:val="15"/>
          <w:szCs w:val="15"/>
          <w:rtl w:val="0"/>
        </w:rPr>
        <w:t xml:space="preserve">Chem Rev.</w:t>
      </w:r>
      <w:r w:rsidDel="00000000" w:rsidR="00000000" w:rsidRPr="00000000">
        <w:rPr>
          <w:rFonts w:ascii="Avenir" w:cs="Avenir" w:eastAsia="Avenir" w:hAnsi="Avenir"/>
          <w:b w:val="1"/>
          <w:bCs w:val="1"/>
          <w:color w:val="3c3f42"/>
          <w:sz w:val="15"/>
          <w:szCs w:val="15"/>
          <w:rtl w:val="0"/>
        </w:rPr>
        <w:t xml:space="preserve"> 2024;124(16):9633–9732. doi:10.1021/acs.chemrev.4c00055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00" w:line="240" w:lineRule="auto"/>
        <w:ind w:left="720" w:hanging="360"/>
        <w:rPr>
          <w:rFonts w:ascii="Avenir" w:cs="Avenir" w:eastAsia="Avenir" w:hAnsi="Avenir"/>
          <w:b w:val="1"/>
          <w:bCs w:val="1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3c3f42"/>
          <w:sz w:val="15"/>
          <w:szCs w:val="15"/>
          <w:rtl w:val="0"/>
        </w:rPr>
        <w:t xml:space="preserve">Hu J, Dong R, Feng Y, Hu M, Hu J. Foundation-model surrogates enable data-efficient active learning for materials discovery. Preprint. Posted March 13, 2026. arXiv:2603.12567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venir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mckinsey.com/capabilities/quantumblack/our-insights/the-next-innovation-revolution-powered-by-a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