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v7pw8cy83g8l" w:id="0"/>
      <w:bookmarkEnd w:id="0"/>
      <w:r w:rsidDel="00000000" w:rsidR="00000000" w:rsidRPr="00000000">
        <w:rPr>
          <w:rFonts w:ascii="Avenir" w:cs="Avenir" w:eastAsia="Avenir" w:hAnsi="Avenir"/>
          <w:b w:val="1"/>
          <w:bCs w:val="1"/>
          <w:color w:val="5b9bd5"/>
          <w:sz w:val="24"/>
          <w:szCs w:val="24"/>
          <w:rtl w:val="0"/>
        </w:rPr>
        <w:t xml:space="preserve">Establishing Public Recycling Hubs</w:t>
      </w:r>
      <w:r w:rsidDel="00000000" w:rsidR="00000000" w:rsidRPr="00000000">
        <w:rPr>
          <w:rtl w:val="0"/>
        </w:rPr>
      </w:r>
    </w:p>
    <w:p w:rsidR="00000000" w:rsidDel="00000000" w:rsidP="00000000" w:rsidRDefault="00000000" w:rsidRPr="00000000" w14:paraId="00000002">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8"/>
          <w:szCs w:val="18"/>
        </w:rPr>
      </w:pPr>
      <w:bookmarkStart w:colFirst="0" w:colLast="0" w:name="_lpwqxy913se9" w:id="1"/>
      <w:bookmarkEnd w:id="1"/>
      <w:r w:rsidDel="00000000" w:rsidR="00000000" w:rsidRPr="00000000">
        <w:rPr>
          <w:rFonts w:ascii="Avenir" w:cs="Avenir" w:eastAsia="Avenir" w:hAnsi="Avenir"/>
          <w:color w:val="3c3f42"/>
          <w:sz w:val="18"/>
          <w:szCs w:val="18"/>
          <w:rtl w:val="0"/>
        </w:rPr>
        <w:t xml:space="preserve">Leveraging AI to automate sorting and recover critical materials at scale</w:t>
      </w:r>
    </w:p>
    <w:p w:rsidR="00000000" w:rsidDel="00000000" w:rsidP="00000000" w:rsidRDefault="00000000" w:rsidRPr="00000000" w14:paraId="00000003">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bookmarkStart w:colFirst="0" w:colLast="0" w:name="_pjv8r7tjxwh5" w:id="2"/>
      <w:bookmarkEnd w:id="2"/>
      <w:r w:rsidDel="00000000" w:rsidR="00000000" w:rsidRPr="00000000">
        <w:rPr>
          <w:rtl w:val="0"/>
        </w:rPr>
      </w:r>
    </w:p>
    <w:p w:rsidR="00000000" w:rsidDel="00000000" w:rsidP="00000000" w:rsidRDefault="00000000" w:rsidRPr="00000000" w14:paraId="00000004">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bookmarkStart w:colFirst="0" w:colLast="0" w:name="_kws5zp99fy" w:id="3"/>
      <w:bookmarkEnd w:id="3"/>
      <w:r w:rsidDel="00000000" w:rsidR="00000000" w:rsidRPr="00000000">
        <w:rPr>
          <w:rFonts w:ascii="Avenir" w:cs="Avenir" w:eastAsia="Avenir" w:hAnsi="Avenir"/>
          <w:color w:val="3c3f42"/>
          <w:sz w:val="15"/>
          <w:szCs w:val="15"/>
          <w:rtl w:val="0"/>
        </w:rPr>
        <w:t xml:space="preserve">As industrial demand for critical minerals grows, primary reserves of lithium and cobalt risk being exceeded, making scaled recycling capacity a strategic imperative [1,2]. AI serves as an enabler for large-scale recycling hubs by automating sorting, material classification, and process optimization at a speed and accuracy that manual operations cannot match [3,9]. However, integrating AI-powered robotic sorting demands substantial upfront capital, and Return on Investment (</w:t>
      </w:r>
      <w:r w:rsidDel="00000000" w:rsidR="00000000" w:rsidRPr="00000000">
        <w:rPr>
          <w:rFonts w:ascii="Avenir" w:cs="Avenir" w:eastAsia="Avenir" w:hAnsi="Avenir"/>
          <w:color w:val="3c3f42"/>
          <w:sz w:val="15"/>
          <w:szCs w:val="15"/>
          <w:rtl w:val="0"/>
        </w:rPr>
        <w:t xml:space="preserve">ROI</w:t>
      </w:r>
      <w:r w:rsidDel="00000000" w:rsidR="00000000" w:rsidRPr="00000000">
        <w:rPr>
          <w:rFonts w:ascii="Avenir" w:cs="Avenir" w:eastAsia="Avenir" w:hAnsi="Avenir"/>
          <w:color w:val="3c3f42"/>
          <w:sz w:val="15"/>
          <w:szCs w:val="15"/>
          <w:rtl w:val="0"/>
        </w:rPr>
        <w:t xml:space="preserve">) remains highly variable for facility operators, deterring private operators from committing to full automation [4].</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Publicly coordinated recycling hubs address this barrier by pooling infrastructure investment across multiple stakeholders, lowering per-facility capital exposure and enabling the shared operational datasets that AI sorting systems require to function reliably at scale [4,5]. The EU has moved in this direction through the </w:t>
      </w:r>
      <w:r w:rsidDel="00000000" w:rsidR="00000000" w:rsidRPr="00000000">
        <w:rPr>
          <w:rFonts w:ascii="Avenir" w:cs="Avenir" w:eastAsia="Avenir" w:hAnsi="Avenir"/>
          <w:color w:val="3c3f42"/>
          <w:sz w:val="15"/>
          <w:szCs w:val="15"/>
          <w:rtl w:val="0"/>
        </w:rPr>
        <w:t xml:space="preserve">CRMA</w:t>
      </w:r>
      <w:r w:rsidDel="00000000" w:rsidR="00000000" w:rsidRPr="00000000">
        <w:rPr>
          <w:rFonts w:ascii="Avenir" w:cs="Avenir" w:eastAsia="Avenir" w:hAnsi="Avenir"/>
          <w:color w:val="3c3f42"/>
          <w:sz w:val="15"/>
          <w:szCs w:val="15"/>
          <w:rtl w:val="0"/>
        </w:rPr>
        <w:t xml:space="preserve"> and RESourceEU Action Plan, which establish domestic recycling targets for critical raw materials [6,7]. By combining shared infrastructure with AI-driven sorting systems that outperform manual recovery rates [8,9], publicly operated hubs produce high-purity recycled output, building the economic case for sustained automation investment [4,10].</w:t>
      </w:r>
      <w:r w:rsidDel="00000000" w:rsidR="00000000" w:rsidRPr="00000000">
        <w:rPr>
          <w:rtl w:val="0"/>
        </w:rPr>
      </w:r>
    </w:p>
    <w:p w:rsidR="00000000" w:rsidDel="00000000" w:rsidP="00000000" w:rsidRDefault="00000000" w:rsidRPr="00000000" w14:paraId="00000006">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color w:val="3c3f42"/>
          <w:sz w:val="15"/>
          <w:szCs w:val="15"/>
        </w:rPr>
      </w:pPr>
      <w:bookmarkStart w:colFirst="0" w:colLast="0" w:name="_jmlibajwzfhk" w:id="4"/>
      <w:bookmarkEnd w:id="4"/>
      <w:r w:rsidDel="00000000" w:rsidR="00000000" w:rsidRPr="00000000">
        <w:rPr>
          <w:rFonts w:ascii="Avenir" w:cs="Avenir" w:eastAsia="Avenir" w:hAnsi="Avenir"/>
          <w:b w:val="1"/>
          <w:bCs w:val="1"/>
          <w:color w:val="024ea2"/>
          <w:sz w:val="15"/>
          <w:szCs w:val="15"/>
          <w:rtl w:val="0"/>
        </w:rPr>
        <w:t xml:space="preserve">Facts </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Global demand for lithium is projected to grow fivefold by 2040, with mine supply already expected to create a 40% shortfall by 2035, signaling an acute global supply gap [1].</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Scaled recycling of critical minerals could reduce new mining activity by up to 30% by 2040, while producing 80% fewer greenhouse gas emissions than primary extraction [1].</w:t>
      </w:r>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Advanced deep learning models achieve up to 97.7% accuracy in identifying and classifying complex waste streams [8], while AI-powered robotic systems reach sorting speeds up to ten times those of manual workers [9].</w:t>
      </w:r>
    </w:p>
    <w:p w:rsidR="00000000" w:rsidDel="00000000" w:rsidP="00000000" w:rsidRDefault="00000000" w:rsidRPr="00000000" w14:paraId="0000000A">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lgu47amps9w" w:id="5"/>
      <w:bookmarkEnd w:id="5"/>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Economic pressure from material scarcity and volatile commodity prices is making high-quality recycling financially attractive, pushing investment into scalable, automated solutions [1,4].</w:t>
      </w:r>
    </w:p>
    <w:p w:rsidR="00000000" w:rsidDel="00000000" w:rsidP="00000000" w:rsidRDefault="00000000" w:rsidRPr="00000000" w14:paraId="0000000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AI-driven sorting significantly improves recovery rates and material purity, directly enhancing the profitability of recycling operations compared to manual processes [8,9].</w:t>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Policy frameworks such as the CRMA incentivize domestic recycling capacity, accelerate infrastructure development, and reduce dependence on primary resource imports [7].</w:t>
      </w:r>
      <w:r w:rsidDel="00000000" w:rsidR="00000000" w:rsidRPr="00000000">
        <w:rPr>
          <w:rtl w:val="0"/>
        </w:rPr>
      </w:r>
    </w:p>
    <w:p w:rsidR="00000000" w:rsidDel="00000000" w:rsidP="00000000" w:rsidRDefault="00000000" w:rsidRPr="00000000" w14:paraId="0000000E">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lvast08mdg1q" w:id="6"/>
      <w:bookmarkEnd w:id="6"/>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Public investment in shared recycling infrastructure remains insufficient, with the EU facing an estimated financing shortfall of at least 29B EUR for the transition to a circular economy [14].</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Developing accurate AI sorting algorithms requires high-quality, task-specific training data, yet existing datasets in the waste management sector are often inadequate, requiring dedicated data collection efforts [11].</w:t>
      </w:r>
    </w:p>
    <w:p w:rsidR="00000000" w:rsidDel="00000000" w:rsidP="00000000" w:rsidRDefault="00000000" w:rsidRPr="00000000" w14:paraId="0000001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Contamination and mixed material compositions in incoming waste streams reduce sorting accuracy and recovery rates, undermining the economic viability of automated facilities operating without controlled input streams [4,9].</w:t>
      </w:r>
      <w:r w:rsidDel="00000000" w:rsidR="00000000" w:rsidRPr="00000000">
        <w:rPr>
          <w:rtl w:val="0"/>
        </w:rPr>
      </w:r>
    </w:p>
    <w:p w:rsidR="00000000" w:rsidDel="00000000" w:rsidP="00000000" w:rsidRDefault="00000000" w:rsidRPr="00000000" w14:paraId="00000012">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bookmarkStart w:colFirst="0" w:colLast="0" w:name="_nkx5q7y61m8m" w:id="7"/>
      <w:bookmarkEnd w:id="7"/>
      <w:r w:rsidDel="00000000" w:rsidR="00000000" w:rsidRPr="00000000">
        <w:rPr>
          <w:rtl w:val="0"/>
        </w:rPr>
      </w:r>
    </w:p>
    <w:p w:rsidR="00000000" w:rsidDel="00000000" w:rsidP="00000000" w:rsidRDefault="00000000" w:rsidRPr="00000000" w14:paraId="00000013">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bookmarkStart w:colFirst="0" w:colLast="0" w:name="_iomuoi4imia1" w:id="8"/>
      <w:bookmarkEnd w:id="8"/>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bookmarkStart w:colFirst="0" w:colLast="0" w:name="_dncetoa1plui" w:id="9"/>
      <w:bookmarkEnd w:id="9"/>
      <w:r w:rsidDel="00000000" w:rsidR="00000000" w:rsidRPr="00000000">
        <w:rPr>
          <w:rFonts w:ascii="Avenir" w:cs="Avenir" w:eastAsia="Avenir" w:hAnsi="Avenir"/>
          <w:color w:val="3c3f42"/>
          <w:sz w:val="15"/>
          <w:szCs w:val="15"/>
          <w:rtl w:val="0"/>
        </w:rPr>
        <w:t xml:space="preserve">Public recycling hubs extend industrial AI beyond factory settings into shared infrastructure serving multiple operators and waste streams simultaneously. This demands AI systems capable of handling highly heterogeneous material inputs, raising the bar for perception robustness and model generalization in real-world industrial conditions [11]. Aggregating sorting data across facilities can further improve model performance and enable scalable learning [12], but only under common data governance standards, a coordination role that neutral public infrastructure is structurally better placed to fulfil than competing private operators [13].</w:t>
      </w:r>
    </w:p>
    <w:p w:rsidR="00000000" w:rsidDel="00000000" w:rsidP="00000000" w:rsidRDefault="00000000" w:rsidRPr="00000000" w14:paraId="00000015">
      <w:pPr>
        <w:pStyle w:val="Heading2"/>
        <w:pBdr>
          <w:top w:color="000000" w:space="0" w:sz="0" w:val="none"/>
          <w:left w:color="000000" w:space="0" w:sz="0" w:val="none"/>
          <w:bottom w:color="000000" w:space="0" w:sz="0" w:val="none"/>
          <w:right w:color="000000" w:space="0" w:sz="0" w:val="none"/>
          <w:between w:color="000000" w:space="0" w:sz="0" w:val="none"/>
        </w:pBdr>
        <w:shd w:fill="ffffff" w:val="clear"/>
        <w:spacing w:after="220" w:before="240" w:line="360" w:lineRule="auto"/>
        <w:jc w:val="both"/>
        <w:rPr>
          <w:rFonts w:ascii="Avenir" w:cs="Avenir" w:eastAsia="Avenir" w:hAnsi="Avenir"/>
          <w:b w:val="1"/>
          <w:bCs w:val="1"/>
          <w:color w:val="024ea2"/>
          <w:sz w:val="15"/>
          <w:szCs w:val="15"/>
        </w:rPr>
      </w:pPr>
      <w:bookmarkStart w:colFirst="0" w:colLast="0" w:name="_5gcwgnf1gdj7" w:id="10"/>
      <w:bookmarkEnd w:id="10"/>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hyperlink r:id="rId6">
        <w:r w:rsidDel="00000000" w:rsidR="00000000" w:rsidRPr="00000000">
          <w:rPr>
            <w:rFonts w:ascii="Avenir" w:cs="Avenir" w:eastAsia="Avenir" w:hAnsi="Avenir"/>
            <w:color w:val="3c3f42"/>
            <w:sz w:val="15"/>
            <w:szCs w:val="15"/>
            <w:rtl w:val="0"/>
          </w:rPr>
          <w:t xml:space="preserve">1.</w:t>
        </w:r>
      </w:hyperlink>
      <w:r w:rsidDel="00000000" w:rsidR="00000000" w:rsidRPr="00000000">
        <w:rPr>
          <w:rFonts w:ascii="Avenir" w:cs="Avenir" w:eastAsia="Avenir" w:hAnsi="Avenir"/>
          <w:color w:val="3c3f42"/>
          <w:sz w:val="15"/>
          <w:szCs w:val="15"/>
          <w:rtl w:val="0"/>
        </w:rPr>
        <w:tab/>
        <w:t xml:space="preserve">International Energy Agency. Global critical minerals outlook 2025. Published March 2023. Accessed March 31, 2026. https://www.iea.org/reports/global-critical-minerals-outlook-2025</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2.</w:t>
        <w:tab/>
        <w:t xml:space="preserve">Junne T, Wulff N, Breyer C, Naegler T. Critical materials in global low-carbon energy scenarios: The case for neodymium, dysprosium, lithium, and cobalt. </w:t>
      </w:r>
      <w:r w:rsidDel="00000000" w:rsidR="00000000" w:rsidRPr="00000000">
        <w:rPr>
          <w:rFonts w:ascii="Avenir" w:cs="Avenir" w:eastAsia="Avenir" w:hAnsi="Avenir"/>
          <w:i w:val="1"/>
          <w:iCs w:val="1"/>
          <w:color w:val="3c3f42"/>
          <w:sz w:val="15"/>
          <w:szCs w:val="15"/>
          <w:rtl w:val="0"/>
        </w:rPr>
        <w:t xml:space="preserve">Energy.</w:t>
      </w:r>
      <w:r w:rsidDel="00000000" w:rsidR="00000000" w:rsidRPr="00000000">
        <w:rPr>
          <w:rFonts w:ascii="Avenir" w:cs="Avenir" w:eastAsia="Avenir" w:hAnsi="Avenir"/>
          <w:color w:val="3c3f42"/>
          <w:sz w:val="15"/>
          <w:szCs w:val="15"/>
          <w:rtl w:val="0"/>
        </w:rPr>
        <w:t xml:space="preserve"> 2020;211:118532. doi:10.1016/j.energy.2020.118532.</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w:t>
        <w:tab/>
        <w:t xml:space="preserve">Cai C. How artificial intelligence can empower the robotic recycling industry: toward an adaptive, data-driven, and circular material recovery system. </w:t>
      </w:r>
      <w:r w:rsidDel="00000000" w:rsidR="00000000" w:rsidRPr="00000000">
        <w:rPr>
          <w:rFonts w:ascii="Avenir" w:cs="Avenir" w:eastAsia="Avenir" w:hAnsi="Avenir"/>
          <w:i w:val="1"/>
          <w:iCs w:val="1"/>
          <w:color w:val="3c3f42"/>
          <w:sz w:val="15"/>
          <w:szCs w:val="15"/>
          <w:rtl w:val="0"/>
        </w:rPr>
        <w:t xml:space="preserve">Comput Artif Intell.</w:t>
      </w:r>
      <w:r w:rsidDel="00000000" w:rsidR="00000000" w:rsidRPr="00000000">
        <w:rPr>
          <w:rFonts w:ascii="Avenir" w:cs="Avenir" w:eastAsia="Avenir" w:hAnsi="Avenir"/>
          <w:color w:val="3c3f42"/>
          <w:sz w:val="15"/>
          <w:szCs w:val="15"/>
          <w:rtl w:val="0"/>
        </w:rPr>
        <w:t xml:space="preserve"> 2026;3(1):17-26. doi:10.70267/cai.26v3n1.1726.</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w:t>
        <w:tab/>
        <w:t xml:space="preserve">Rahman SMM, Reck BK. Techno-economic analysis of a material recovery facility employing robotic sorting technology. In: Nasr N, ed. </w:t>
      </w:r>
      <w:r w:rsidDel="00000000" w:rsidR="00000000" w:rsidRPr="00000000">
        <w:rPr>
          <w:rFonts w:ascii="Avenir" w:cs="Avenir" w:eastAsia="Avenir" w:hAnsi="Avenir"/>
          <w:i w:val="1"/>
          <w:iCs w:val="1"/>
          <w:color w:val="3c3f42"/>
          <w:sz w:val="15"/>
          <w:szCs w:val="15"/>
          <w:rtl w:val="0"/>
        </w:rPr>
        <w:t xml:space="preserve">Technology Innovation for the Circular Economy.</w:t>
      </w:r>
      <w:r w:rsidDel="00000000" w:rsidR="00000000" w:rsidRPr="00000000">
        <w:rPr>
          <w:rFonts w:ascii="Avenir" w:cs="Avenir" w:eastAsia="Avenir" w:hAnsi="Avenir"/>
          <w:color w:val="3c3f42"/>
          <w:sz w:val="15"/>
          <w:szCs w:val="15"/>
          <w:rtl w:val="0"/>
        </w:rPr>
        <w:t xml:space="preserve"> 1st ed. Wiley; 2024:269-278. doi:10.1002/9781394214297.ch21.</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w:t>
        <w:tab/>
        <w:t xml:space="preserve">Ellen MacArthur Foundation. Artificial intelligence and the circular economy: AI as a tool to accelerate the transition. Published January 1, 2019. Accessed March 31, 2026. https://www.ellenmacarthurfoundation.org/artificial-intelligence-and-the-circular-economy</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w:t>
        <w:tab/>
        <w:t xml:space="preserve">Umweltpakt Bayern. ResourceEU: neuer EU-Aktionsplan für mehr Recycling und Rohstoffsicherheit. Accessed March 31, 2026. https://www.umweltpakt.bayern.de/abfall/aktuelles/3963/resourceeu-neuer-eu-aktionsplan-mehr-recycling-rohstoffsicherheit</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w:t>
        <w:tab/>
        <w:t xml:space="preserve">European Parliament, Council of the European Union. Regulation (EU) 2024/1252 of 11 April 2024 establishing a framework for ensuring a secure and sustainable supply of critical raw materials and amending Regulations (EU) No 168/2013, (EU) 2018/858, (EU) 2018/1724 and (EU) 2019/1020. Official Journal of the European Union. L, 2024/1252. May 3, 2024. Accessed March 31, 2026. https://eur-lex.europa.eu/eli/reg/2024/1252/oj</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8.</w:t>
        <w:tab/>
        <w:t xml:space="preserve">Bawankule R, Gaikwad V, Kulkarni I, Kulkarni S, Jadhav A, Ranjan N. Visual Detection of Waste using YOLOv8. In: 2023 International Conference on Sustainable Computing and Smart Systems (ICSCSS). IEEE; 2023:869-873. doi:10.1109/ICSCSS57650.2023.10169688</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9.</w:t>
        <w:tab/>
        <w:t xml:space="preserve">Chertow M, Reck BK, Wrzesniewski A, Calli B. Outlook on the future role of robots and AI in material recovery facilities: Implications for US recycling and the workforce. </w:t>
      </w:r>
      <w:r w:rsidDel="00000000" w:rsidR="00000000" w:rsidRPr="00000000">
        <w:rPr>
          <w:rFonts w:ascii="Avenir" w:cs="Avenir" w:eastAsia="Avenir" w:hAnsi="Avenir"/>
          <w:i w:val="1"/>
          <w:iCs w:val="1"/>
          <w:color w:val="3c3f42"/>
          <w:sz w:val="15"/>
          <w:szCs w:val="15"/>
          <w:rtl w:val="0"/>
        </w:rPr>
        <w:t xml:space="preserve">J Clean Prod.</w:t>
      </w:r>
      <w:r w:rsidDel="00000000" w:rsidR="00000000" w:rsidRPr="00000000">
        <w:rPr>
          <w:rFonts w:ascii="Avenir" w:cs="Avenir" w:eastAsia="Avenir" w:hAnsi="Avenir"/>
          <w:color w:val="3c3f42"/>
          <w:sz w:val="15"/>
          <w:szCs w:val="15"/>
          <w:rtl w:val="0"/>
        </w:rPr>
        <w:t xml:space="preserve"> 2024;470:143234. doi:10.1016/j.jclepro.2024.143234.</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10.</w:t>
        <w:tab/>
        <w:t xml:space="preserve">Lakhouit A. Revolutionizing urban solid waste management with AI and IoT: A review of smart solutions for waste collection, sorting, and recycling. </w:t>
      </w:r>
      <w:r w:rsidDel="00000000" w:rsidR="00000000" w:rsidRPr="00000000">
        <w:rPr>
          <w:rFonts w:ascii="Avenir" w:cs="Avenir" w:eastAsia="Avenir" w:hAnsi="Avenir"/>
          <w:i w:val="1"/>
          <w:iCs w:val="1"/>
          <w:color w:val="3c3f42"/>
          <w:sz w:val="15"/>
          <w:szCs w:val="15"/>
          <w:rtl w:val="0"/>
        </w:rPr>
        <w:t xml:space="preserve">Results Eng.</w:t>
      </w:r>
      <w:r w:rsidDel="00000000" w:rsidR="00000000" w:rsidRPr="00000000">
        <w:rPr>
          <w:rFonts w:ascii="Avenir" w:cs="Avenir" w:eastAsia="Avenir" w:hAnsi="Avenir"/>
          <w:color w:val="3c3f42"/>
          <w:sz w:val="15"/>
          <w:szCs w:val="15"/>
          <w:rtl w:val="0"/>
        </w:rPr>
        <w:t xml:space="preserve"> 2025;25:104018. doi:10.1016/j.rineng.2025.104018.</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w:t>
        <w:tab/>
        <w:t xml:space="preserve">Aberger J, Shami S, Häcker B, Pestana J, Khodier K, Sarc R. Prototype of AI-powered assistance system for digitalisation of manual waste sorting. </w:t>
      </w:r>
      <w:r w:rsidDel="00000000" w:rsidR="00000000" w:rsidRPr="00000000">
        <w:rPr>
          <w:rFonts w:ascii="Avenir" w:cs="Avenir" w:eastAsia="Avenir" w:hAnsi="Avenir"/>
          <w:color w:val="3c3f42"/>
          <w:sz w:val="15"/>
          <w:szCs w:val="15"/>
          <w:rtl w:val="0"/>
        </w:rPr>
        <w:t xml:space="preserve">Waste Manag.</w:t>
      </w:r>
      <w:r w:rsidDel="00000000" w:rsidR="00000000" w:rsidRPr="00000000">
        <w:rPr>
          <w:rFonts w:ascii="Avenir" w:cs="Avenir" w:eastAsia="Avenir" w:hAnsi="Avenir"/>
          <w:color w:val="3c3f42"/>
          <w:sz w:val="15"/>
          <w:szCs w:val="15"/>
          <w:rtl w:val="0"/>
        </w:rPr>
        <w:t xml:space="preserve"> 2025;194:366-378. doi:10.1016/j.wasman.2025.01.027</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12.</w:t>
        <w:tab/>
        <w:t xml:space="preserve">Bemani A, Björsell N. Aggregation strategy on federated machine learning algorithm for collaborative predictive maintenance. Sensors. 2022;22(16):6252. doi:10.3390/s22166252 </w:t>
      </w: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13.</w:t>
        <w:tab/>
        <w:t xml:space="preserve">European Parliament, Council of the European Union. Regulation (EU) 2022/868 of 30 May 2022 on European data governance and amending Regulation (EU) 2018/1724 (Data Governance Act). Official Journal of the European Union. L 152, 3.6.2022:1-44. Accessed March 31, 2026. https://eur-lex.europa.eu/eli/reg/2022/868/oj</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384.00000000000006"/>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14.</w:t>
        <w:tab/>
        <w:t xml:space="preserve">European Environment Agency. Circular economy financing and strategies. Published September 29, 2025. Accessed March 31, 2026. https://www.eea.europa.eu/en/europe-environment-2025/thematic-briefings/circular-economy-and-other-enablers-of-transformative-change/circular-economy-financing-and-strategies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zotero.org/google-docs/?aWSv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