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5.45454545454547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1x5lgshv11wd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Tracing Emissions Through Products</w:t>
      </w:r>
    </w:p>
    <w:p w:rsidR="00000000" w:rsidDel="00000000" w:rsidP="00000000" w:rsidRDefault="00000000" w:rsidRPr="00000000" w14:paraId="00000002">
      <w:pPr>
        <w:pStyle w:val="Sub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36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bookmarkStart w:colFirst="0" w:colLast="0" w:name="_3dxcd2js2bcu" w:id="1"/>
      <w:bookmarkEnd w:id="1"/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Linking Emissions Data Directly to Products through Digital Passports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Corporate climate accountability has historically focused on direct operations, but regulatory pressure now targets the entire value chain [1]. Exemplary of this expansion, Scope 3 emissions are indirect greenhouse gas outputs that span across a reporting network [2]. While much of Scope 3 is still estimated using industry averages or financial proxies [2,3], incoming mandates require disclosure using best available data, including estimates where necessary [4]. To escape these vague sector averages, industries are increasingly linking emissions data directly to individual items via persistent identifiers and digital passports, making Scope 3 emissions measurable at the unit level [5,6]. The European Union Battery Regulation exemplifies this shift by mandating electronic records for battery life cycles [6]. Expanding this approach draws on four complementary layers: unique identity tags for products and facilities [5,6], event-based tracking for manufacturing histories [7,8], clear governance for footprint methodologies and access [5,9], and application software to reconcile shared data consistently [3,10].</w:t>
      </w:r>
    </w:p>
    <w:p w:rsidR="00000000" w:rsidDel="00000000" w:rsidP="00000000" w:rsidRDefault="00000000" w:rsidRPr="00000000" w14:paraId="00000004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xmstyub669ex" w:id="2"/>
      <w:bookmarkEnd w:id="2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a 2024 analysis by Boston Consulting Group and the Carbon Disclosure Project, reported supply chain Scope 3 emissions were on average 26 times larger than combined Scope 1 and 2 emissions [11].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Approximately 98% of retail and wholesale greenhouse gas emissions fall under Scope 3, underscoring the urgent need for direct product data tracking rather than relying on broad sector estimates [12].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From February 18, 2027, certain batteries placed on the EU market must carry an electronic battery passport, linked via a QR code to a unique identifier [6].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uhs1f9kojj2u" w:id="3"/>
      <w:bookmarkEnd w:id="3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EU regulations are establishing persistent identifiers, machine-readable passports, interoperability requirements, and access right structures for product data [5,6].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Across industrial sustainability, standards now cover complementary components of the technology stack, including carbon footprint methodologies, event-based visibility data, and interoperable asset representations [7,8,9].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Research on digital product passports and automated carbon data exchange suggests that lifecycle-linked data flows are strictly necessary to move beyond coarse approximations [3,10,13].</w:t>
      </w:r>
    </w:p>
    <w:p w:rsidR="00000000" w:rsidDel="00000000" w:rsidP="00000000" w:rsidRDefault="00000000" w:rsidRPr="00000000" w14:paraId="0000000C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bzojtupp0ei3" w:id="4"/>
      <w:bookmarkEnd w:id="4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Persistent identifiers improve traceability [5,6] but do not resolve methodological disputes around boundaries, allocation, and data quality on their own [2,3].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Suppliers may resist sharing process-level emissions data because it can reveal commercially sensitive information and raise privacy, governance, and data control concerns [3].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Passport and interoperability approaches are still emerging and may evolve unevenly across sectors. Batteries are more concrete today than broader product passport implementations [5,6,13].</w:t>
      </w:r>
    </w:p>
    <w:p w:rsidR="00000000" w:rsidDel="00000000" w:rsidP="00000000" w:rsidRDefault="00000000" w:rsidRPr="00000000" w14:paraId="00000010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yahgc0tupk9e" w:id="5"/>
      <w:bookmarkEnd w:id="5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For industrial artificial intelligence, structured product data will improve the consistency of emissions inputs [3]. As data sharing matures, software can reconcile inputs and flag inconsistencies, supporting compliance despite ongoing methodological disputes [3,10]. Ultimately, AI will reduce reliance on coarse approximations in Scope 3 tracking [10]. Beyond compliance, combining AI with digital product passports enables a transparent circular economy [14]. With real-time visibility into component emissions and material histories, industries will shift from static reporting to dynamic carbon adaptive decisions [10,14]. AI systems can then automatically route end-of-life products to recycling, predict efficient sourcing, and decouple growth from new resource extraction [14].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30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[1] Klaaßen L, Stoll C. Harmonizing corporate carbon footprints. Nature Communications. 2021;12(1):6149. doi:10.1038/s41467-021-26349-x </w:t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[2] World Resources Institute, World Business Council for Sustainable Development. Corporate Value Chain (Scope 3) Accounting and Reporting Standard. Greenhouse Gas Protocol; 2011. Accessed March 30,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https://ghgprotocol.org/sites/default/files/standards/Corporate-Value-Chain-Accounting-Reporing-Standard_041613_2.pdf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[3] Stenzel A, Waichman I. Supply chain data sharing for scope 3 emissions. npj Climate Action. 2023;2:7. doi:10.1038/s44168-023-00032-x </w:t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[4] European Commission. Regulation (EU) 2023/2772 supplementing Directive 2013/34/EU as regards sustainability reporting standards. Official Journal of the European Union. 2023. Accessed March 30,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https://eur-lex.europa.eu/eli/reg_del/2023/2772/oj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[5] European Parliament, Council of the European Union. Regulation (EU) 2024/1781 of 13 June 2024 establishing a framework for the setting of ecodesign requirements for sustainable products (Ecodesign for Sustainable Products Regulation). Official Journal of the European Union. L, 2024/1781. June 28, 2024. Accessed March 31, 2026. http://data.europa.eu/eli/reg/2024/1781/oj</w:t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[6] European Parliament, Council of the European Union. Regulation (EU) 2023/1542 of the European Parliament and of the Council of 12 July 2023 concerning batteries and waste batteries, amending Regulation (EU) 2019/1020 and Directive 2006/66/EC and repealing Directive 2006/66/EC. Official Journal of the European Union. 2023;L191:1-117. Accessed March 31, 2026. </w:t>
      </w:r>
      <w:hyperlink r:id="rId6">
        <w:r w:rsidDel="00000000" w:rsidR="00000000" w:rsidRPr="00000000">
          <w:rPr>
            <w:rFonts w:ascii="Avenir" w:cs="Avenir" w:eastAsia="Avenir" w:hAnsi="Avenir"/>
            <w:color w:val="0e101a"/>
            <w:sz w:val="15"/>
            <w:szCs w:val="15"/>
            <w:rtl w:val="0"/>
          </w:rPr>
          <w:t xml:space="preserve">http://data.europa.eu/eli/reg/2023/1542/oj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[7] GS1 AISBL. EPCIS and CBV Implementation Guideline. Release 2.0. GS1 AISBL; 2023. Accessed April 1, 2026. </w:t>
      </w:r>
      <w:hyperlink r:id="rId7">
        <w:r w:rsidDel="00000000" w:rsidR="00000000" w:rsidRPr="00000000">
          <w:rPr>
            <w:rFonts w:ascii="Avenir" w:cs="Avenir" w:eastAsia="Avenir" w:hAnsi="Avenir"/>
            <w:color w:val="0e101a"/>
            <w:sz w:val="15"/>
            <w:szCs w:val="15"/>
            <w:rtl w:val="0"/>
          </w:rPr>
          <w:t xml:space="preserve">https://ref.gs1.org/standards/epcis/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[8] Industrial Digital Twin Association e.V. Specification of the Asset Administration Shell Part 1: Metamodel. Version 3.1.2. IDTA-01001. Industrial Digital Twin Association e.V.; October 2025. doi:10.62628/IDTA.01001-3-1-2</w:t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[9] International Organization for Standardization. ISO 14067:2018.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Greenhouse gases—Carbon footprint of products—Requirements and guidelines for quantification.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 ISO; 2018. Accessed April 1, 2026. </w:t>
      </w:r>
      <w:hyperlink r:id="rId8">
        <w:r w:rsidDel="00000000" w:rsidR="00000000" w:rsidRPr="00000000">
          <w:rPr>
            <w:rFonts w:ascii="Avenir" w:cs="Avenir" w:eastAsia="Avenir" w:hAnsi="Avenir"/>
            <w:color w:val="0e101a"/>
            <w:sz w:val="15"/>
            <w:szCs w:val="15"/>
            <w:rtl w:val="0"/>
          </w:rPr>
          <w:t xml:space="preserve">https://www.iso.org/standard/71206.html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[10] Stroher T, Korner MF, Paetzold F, Struker J. Bridging carbon data's organizational boundaries: toward automated data sharing in sustainable supply chains. Electronic Markets. 2025;35:33. doi:10.1007/s12525-025-00779-7 </w:t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[11] Boston Consulting Group, CDP. Scope 3 Upstream: Big Challenges, Simple Remedies. CDP; 2024. Accessed March 31,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https://www.eticanews.it/wp-content/uploads/2024/06/Scope-3-Upstream-Report.pdf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[12] EuroCommerce. Tackling the Hidden Carbon Footprint in European Retail and Wholesale Value Chains. EuroCommerce; 2024. Accessed March 31,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https://www.eurocommerce.eu/app/uploads/2024/06/eurocommerce-report-june-18-web.pdf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[13] Jensen SF, Kristensen JH, Adamsen S, Christensen A, Waehrens BV. Digital product passports for a circular economy: data needs for product life cycle decision making. Sustainable Production and Consumption. 2023;37:242-255. doi:10.1016/j.spc.2023.02.021 </w:t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[14] Psarommatis F, May G. Digital Product Passport: A Pathway to Circularity and Sustainability in Modern Manufacturing. Sustainability. 2024;16(1):396. doi:10.3390/su16010396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ata.europa.eu/eli/reg/2023/1542/oj" TargetMode="External"/><Relationship Id="rId7" Type="http://schemas.openxmlformats.org/officeDocument/2006/relationships/hyperlink" Target="https://ref.gs1.org/standards/epcis/" TargetMode="External"/><Relationship Id="rId8" Type="http://schemas.openxmlformats.org/officeDocument/2006/relationships/hyperlink" Target="https://www.iso.org/standard/7120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