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bookmarkStart w:colFirst="0" w:colLast="0" w:name="_ty3l22gfvoz2" w:id="0"/>
      <w:bookmarkEnd w:id="0"/>
      <w:r w:rsidDel="00000000" w:rsidR="00000000" w:rsidRPr="00000000">
        <w:rPr>
          <w:rFonts w:ascii="Avenir" w:cs="Avenir" w:eastAsia="Avenir" w:hAnsi="Avenir"/>
          <w:b w:val="1"/>
          <w:bCs w:val="1"/>
          <w:color w:val="5b9bd5"/>
          <w:sz w:val="24"/>
          <w:szCs w:val="24"/>
          <w:rtl w:val="0"/>
        </w:rPr>
        <w:t xml:space="preserve">Introduction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Environmental resilience is a fundamental requirement for establishing industrial AI [1]. As AI clusters become more central to industries, the underlying infrastructure demands physical resource dependability. Protecting these assets from climate-driven disruptions and ensuring a consistent supply of energy and resources are strategic prerequisites for industrial continuity.</w:t>
      </w:r>
      <w:r w:rsidDel="00000000" w:rsidR="00000000" w:rsidRPr="00000000">
        <w:rPr>
          <w:rFonts w:ascii="Avenir" w:cs="Avenir" w:eastAsia="Avenir" w:hAnsi="Avenir"/>
          <w:color w:val="3c3f42"/>
          <w:sz w:val="15"/>
          <w:szCs w:val="15"/>
          <w:rtl w:val="0"/>
        </w:rPr>
        <w:t xml:space="preserve"> The fast expansion of AI has ambivalent consequences for the environment.</w:t>
      </w:r>
      <w:r w:rsidDel="00000000" w:rsidR="00000000" w:rsidRPr="00000000">
        <w:rPr>
          <w:rFonts w:ascii="Avenir" w:cs="Avenir" w:eastAsia="Avenir" w:hAnsi="Avenir"/>
          <w:color w:val="3c3f42"/>
          <w:sz w:val="15"/>
          <w:szCs w:val="15"/>
          <w:rtl w:val="0"/>
        </w:rPr>
        <w:t xml:space="preserve"> Its growing physical footprint strains planetary boundaries, while its analytical capabilities offer tools to operate within them [2].</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vertAlign w:val="superscript"/>
        </w:rPr>
      </w:pPr>
      <w:r w:rsidDel="00000000" w:rsidR="00000000" w:rsidRPr="00000000">
        <w:rPr>
          <w:rFonts w:ascii="Avenir" w:cs="Avenir" w:eastAsia="Avenir" w:hAnsi="Avenir"/>
          <w:color w:val="3c3f42"/>
          <w:sz w:val="15"/>
          <w:szCs w:val="15"/>
          <w:rtl w:val="0"/>
        </w:rPr>
        <w:t xml:space="preserve">On the one hand, AI poses a high demand for resources such as energy, rare earth materials, and water, which are only increased by its exponential adoption in industry as it moves from occasional analytics to continuous, compute-intensive operations at a large scale [3].</w:t>
      </w:r>
      <w:r w:rsidDel="00000000" w:rsidR="00000000" w:rsidRPr="00000000">
        <w:rPr>
          <w:rFonts w:ascii="Avenir" w:cs="Avenir" w:eastAsia="Avenir" w:hAnsi="Avenir"/>
          <w:color w:val="3c3f42"/>
          <w:sz w:val="15"/>
          <w:szCs w:val="15"/>
          <w:rtl w:val="0"/>
        </w:rPr>
        <w:t xml:space="preserve"> </w:t>
      </w:r>
      <w:r w:rsidDel="00000000" w:rsidR="00000000" w:rsidRPr="00000000">
        <w:rPr>
          <w:rFonts w:ascii="Avenir" w:cs="Avenir" w:eastAsia="Avenir" w:hAnsi="Avenir"/>
          <w:color w:val="3c3f42"/>
          <w:sz w:val="15"/>
          <w:szCs w:val="15"/>
          <w:rtl w:val="0"/>
        </w:rPr>
        <w:t xml:space="preserve">For instance, executing AI-driven operations can consume up to ten times as much electricity as traditional computing and search tasks [4]</w:t>
      </w:r>
      <w:r w:rsidDel="00000000" w:rsidR="00000000" w:rsidRPr="00000000">
        <w:rPr>
          <w:rFonts w:ascii="Avenir" w:cs="Avenir" w:eastAsia="Avenir" w:hAnsi="Avenir"/>
          <w:color w:val="3c3f42"/>
          <w:sz w:val="15"/>
          <w:szCs w:val="15"/>
          <w:rtl w:val="0"/>
        </w:rPr>
        <w:t xml:space="preserve">. </w:t>
      </w:r>
      <w:r w:rsidDel="00000000" w:rsidR="00000000" w:rsidRPr="00000000">
        <w:rPr>
          <w:rFonts w:ascii="Avenir" w:cs="Avenir" w:eastAsia="Avenir" w:hAnsi="Avenir"/>
          <w:color w:val="3c3f42"/>
          <w:sz w:val="15"/>
          <w:szCs w:val="15"/>
          <w:rtl w:val="0"/>
        </w:rPr>
        <w:t xml:space="preserve">Many of these resource dependencies remain opaque, creating systemic vulnerabilities [3].</w:t>
      </w:r>
      <w:r w:rsidDel="00000000" w:rsidR="00000000" w:rsidRPr="00000000">
        <w:rPr>
          <w:rFonts w:ascii="Avenir" w:cs="Avenir" w:eastAsia="Avenir" w:hAnsi="Avenir"/>
          <w:color w:val="3c3f42"/>
          <w:sz w:val="15"/>
          <w:szCs w:val="15"/>
          <w:rtl w:val="0"/>
        </w:rPr>
        <w:t xml:space="preserve"> Without transitioning toward sustainable land use and circular material sourcing, the hardware required for industrial intelligence risks hitting a physical growth ceiling [5].</w:t>
      </w: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On the other hand, AI serves as a catalyst for the global transition toward a circular economy. Circularity is a regenerative economic model designed to replace the linear "take-make-waste" approach and instead prioritizes sustainable resource production and consumption by reusing, recycling, or redesigning materials and products to maximize product lifecycles [6,7]. Global implementation of circularity could reduce global emissions by 22.8B tons, providing the environmental stability necessary for long-term industrial operations [8].</w:t>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Regulatory frameworks begin to embrace these practices, particularly in the EU. The EU CEAP, the CRMA, and the ESPR are transforming circularity from a series of isolated pilots into a standardized industrial process, paving the way for large-scale systemic shifts [9,10,11]. These mandates establish clear data protocols for industrial automation, thereby lowering barriers to adoption and ultimately strengthening European resource sovereignty [12,13]. A central mechanism introduced by these regulations is the DPP, a structured, machine-readable data container that tracks sustainability and lifecycle information across supply chains [12].</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AI-driven solutions have the potential to optimize the entire industrial value chain and facilitate cross-value chain collaboration. Evidence from recent bibliometric and network analyses confirms that the field is rapidly expanding, with applications already moving beyond a select few pilot projects toward standardized, reproducible operational practices [14].</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AI serves as a positive force in the transition toward a circular economy [15]</w:t>
      </w:r>
      <w:r w:rsidDel="00000000" w:rsidR="00000000" w:rsidRPr="00000000">
        <w:rPr>
          <w:rFonts w:ascii="Avenir" w:cs="Avenir" w:eastAsia="Avenir" w:hAnsi="Avenir"/>
          <w:color w:val="3c3f42"/>
          <w:sz w:val="15"/>
          <w:szCs w:val="15"/>
          <w:rtl w:val="0"/>
        </w:rPr>
        <w:t xml:space="preserve">, however due to its resource consumption, the net effect on the environment is unclear. However, the speed of adoption remains critical. To prevent infrastructure bottlenecks, the shift toward sustainable data center management must keep pace with the exponential growth of technology [16].</w:t>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References:</w:t>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[1] IPCC. Technical summary. In: Portner HO, Roberts DC, Poloczanska ES, et al., eds. Climate Change 2022: Impacts, Adaptation, and Vulnerability. Contribution of Working Group II to the Sixth Assessment Report of the Intergovernmental Panel on Climate Change. Cambridge University Press; 2022:37-118. doi:10.1017/9781009325844.002</w:t>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[2] Alnafrah I. The two tales of AI: a global assessment of the environmental impacts of artificial intelligence from a multidimensional policy perspective. J Environ Manage. 2025;392:126813. doi:10.1016/j.jenvman.2025.126813</w:t>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[3] Hlabisa S. The ecology of artificial intelligence: energy, water, materials, and land limits of digital systems. Carbon Neutral Systems. 2025;1:19. doi:10.1007/s44438-025-00018-8</w:t>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[4] International Energy Agency. </w:t>
      </w:r>
      <w:r w:rsidDel="00000000" w:rsidR="00000000" w:rsidRPr="00000000">
        <w:rPr>
          <w:rFonts w:ascii="Avenir" w:cs="Avenir" w:eastAsia="Avenir" w:hAnsi="Avenir"/>
          <w:i w:val="1"/>
          <w:iCs w:val="1"/>
          <w:color w:val="0e101a"/>
          <w:sz w:val="15"/>
          <w:szCs w:val="15"/>
          <w:rtl w:val="0"/>
        </w:rPr>
        <w:t xml:space="preserve">Electricity 2024: Analysis and Forecast to 2026</w:t>
      </w:r>
      <w:r w:rsidDel="00000000" w:rsidR="00000000" w:rsidRPr="00000000">
        <w:rPr>
          <w:rFonts w:ascii="Avenir" w:cs="Avenir" w:eastAsia="Avenir" w:hAnsi="Avenir"/>
          <w:color w:val="0e101a"/>
          <w:sz w:val="15"/>
          <w:szCs w:val="15"/>
          <w:rtl w:val="0"/>
        </w:rPr>
        <w:t xml:space="preserve">. International Energy Agency; 2024. Accessed March 31, 2026. </w:t>
      </w:r>
      <w:r w:rsidDel="00000000" w:rsidR="00000000" w:rsidRPr="00000000">
        <w:rPr>
          <w:rFonts w:ascii="Avenir" w:cs="Avenir" w:eastAsia="Avenir" w:hAnsi="Avenir"/>
          <w:color w:val="0e101a"/>
          <w:sz w:val="15"/>
          <w:szCs w:val="15"/>
          <w:rtl w:val="0"/>
        </w:rPr>
        <w:t xml:space="preserve">https://www.iea.org/reports/electricity-2024</w:t>
      </w:r>
      <w:r w:rsidDel="00000000" w:rsidR="00000000" w:rsidRPr="00000000">
        <w:rPr>
          <w:rtl w:val="0"/>
        </w:rPr>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[5] Consultancy.eu. The hidden cost of AI: new report warns over energy use and environmental impact. Consultancy.eu. Published February 11, 2026. Accessed March 30, 2026. </w:t>
      </w:r>
      <w:r w:rsidDel="00000000" w:rsidR="00000000" w:rsidRPr="00000000">
        <w:rPr>
          <w:rFonts w:ascii="Avenir" w:cs="Avenir" w:eastAsia="Avenir" w:hAnsi="Avenir"/>
          <w:color w:val="0e101a"/>
          <w:sz w:val="15"/>
          <w:szCs w:val="15"/>
          <w:rtl w:val="0"/>
        </w:rPr>
        <w:t xml:space="preserve">https://www.consultancy.eu/news/13183/the-hidden-cost-of-ai-new-report-warns-over-energy-use-and-environmental-impact</w:t>
      </w:r>
      <w:r w:rsidDel="00000000" w:rsidR="00000000" w:rsidRPr="00000000">
        <w:rPr>
          <w:rtl w:val="0"/>
        </w:rPr>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[6] Ellen MacArthur Foundation. Artificial Intelligence and the Circular Economy: AI as a Tool to Accelerate the Transition. Ellen MacArthur Foundation; 2019. Accessed March 30, 2026. </w:t>
      </w:r>
      <w:r w:rsidDel="00000000" w:rsidR="00000000" w:rsidRPr="00000000">
        <w:rPr>
          <w:rFonts w:ascii="Avenir" w:cs="Avenir" w:eastAsia="Avenir" w:hAnsi="Avenir"/>
          <w:color w:val="0e101a"/>
          <w:sz w:val="15"/>
          <w:szCs w:val="15"/>
          <w:rtl w:val="0"/>
        </w:rPr>
        <w:t xml:space="preserve">https://www.ellenmacarthurfoundation.org/artificial-intelligence-and-the-circular-economy</w:t>
      </w:r>
      <w:r w:rsidDel="00000000" w:rsidR="00000000" w:rsidRPr="00000000">
        <w:rPr>
          <w:rtl w:val="0"/>
        </w:rPr>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[7] Iacovidou E, Hahladakis JN, Purnell P. A systems thinking approach to understanding the challenges of achieving the circular economy. Environ Sci Pollut Res. 2021;28(19):24785-24806. doi:10.1007/s11356-020-11725-9</w:t>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[8] Circle Economy. The Circularity Gap Report 2021. Circle Economy; 2021. Accessed March 30, 2026. </w:t>
      </w:r>
      <w:r w:rsidDel="00000000" w:rsidR="00000000" w:rsidRPr="00000000">
        <w:rPr>
          <w:rFonts w:ascii="Avenir" w:cs="Avenir" w:eastAsia="Avenir" w:hAnsi="Avenir"/>
          <w:color w:val="0e101a"/>
          <w:sz w:val="15"/>
          <w:szCs w:val="15"/>
          <w:rtl w:val="0"/>
        </w:rPr>
        <w:t xml:space="preserve">https://www.circularity-gap.world/2021</w:t>
      </w: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[9] European Commission. A new Circular Economy Action Plan: for a cleaner and more competitive Europe. COM(2020) 98 final. Published March 11, 2020. Accessed March 30, 2026. </w:t>
      </w:r>
      <w:r w:rsidDel="00000000" w:rsidR="00000000" w:rsidRPr="00000000">
        <w:rPr>
          <w:rFonts w:ascii="Avenir" w:cs="Avenir" w:eastAsia="Avenir" w:hAnsi="Avenir"/>
          <w:color w:val="0e101a"/>
          <w:sz w:val="15"/>
          <w:szCs w:val="15"/>
          <w:rtl w:val="0"/>
        </w:rPr>
        <w:t xml:space="preserve">https://eur-lex.europa.eu/legal-content/EN/TXT/?uri=COM:2020:98:FIN</w:t>
      </w:r>
      <w:r w:rsidDel="00000000" w:rsidR="00000000" w:rsidRPr="00000000">
        <w:rPr>
          <w:rtl w:val="0"/>
        </w:rPr>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[10] European Parliament, Council of the European Union. Regulation (EU) 2024/1252 establishing a framework for ensuring a secure and sustainable supply of critical raw materials (Critical Raw Materials Act). Official Journal of the European Union. 2024. Accessed March 30, 2026. </w:t>
      </w:r>
      <w:r w:rsidDel="00000000" w:rsidR="00000000" w:rsidRPr="00000000">
        <w:rPr>
          <w:rFonts w:ascii="Avenir" w:cs="Avenir" w:eastAsia="Avenir" w:hAnsi="Avenir"/>
          <w:color w:val="0e101a"/>
          <w:sz w:val="15"/>
          <w:szCs w:val="15"/>
          <w:rtl w:val="0"/>
        </w:rPr>
        <w:t xml:space="preserve">https://eur-lex.europa.eu/legal-content/EN/TXT/?uri=CELEX%3A02024R1252-20240503</w:t>
      </w:r>
      <w:r w:rsidDel="00000000" w:rsidR="00000000" w:rsidRPr="00000000">
        <w:rPr>
          <w:rtl w:val="0"/>
        </w:rPr>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[11] European Parliament, Council of the European Union. Regulation (EU) 2024/1781 establishing a framework for the setting of ecodesign requirements for sustainable products (ESPR). Official Journal of the European Union. 2024. Accessed March 30, 2026. </w:t>
      </w:r>
      <w:r w:rsidDel="00000000" w:rsidR="00000000" w:rsidRPr="00000000">
        <w:rPr>
          <w:rFonts w:ascii="Avenir" w:cs="Avenir" w:eastAsia="Avenir" w:hAnsi="Avenir"/>
          <w:color w:val="0e101a"/>
          <w:sz w:val="15"/>
          <w:szCs w:val="15"/>
          <w:rtl w:val="0"/>
        </w:rPr>
        <w:t xml:space="preserve">https://eur-lex.europa.eu/eli/reg/2024/1781/oj/eng</w:t>
      </w:r>
      <w:r w:rsidDel="00000000" w:rsidR="00000000" w:rsidRPr="00000000">
        <w:rPr>
          <w:rtl w:val="0"/>
        </w:rPr>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[12] Chawla K, Chirvasuta T, Wolf MA, et al. Methodology for Defining Data Requirements for the Digital Product Passport Under the ESPR Framework. European Commission Joint Research Centre; 2025. Accessed March 30, 2026. </w:t>
      </w:r>
      <w:r w:rsidDel="00000000" w:rsidR="00000000" w:rsidRPr="00000000">
        <w:rPr>
          <w:rFonts w:ascii="Avenir" w:cs="Avenir" w:eastAsia="Avenir" w:hAnsi="Avenir"/>
          <w:color w:val="0e101a"/>
          <w:sz w:val="15"/>
          <w:szCs w:val="15"/>
          <w:rtl w:val="0"/>
        </w:rPr>
        <w:t xml:space="preserve">https://publications.jrc.ec.europa.eu/repository/handle/JRC145830</w:t>
      </w:r>
      <w:r w:rsidDel="00000000" w:rsidR="00000000" w:rsidRPr="00000000">
        <w:rPr>
          <w:rtl w:val="0"/>
        </w:rPr>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[13] Council of the European Union. Strategic autonomy: Council gives its final approval on the critical raw materials act. Published March 18, 2024. Accessed March 30, 2026. </w:t>
      </w:r>
      <w:r w:rsidDel="00000000" w:rsidR="00000000" w:rsidRPr="00000000">
        <w:rPr>
          <w:rFonts w:ascii="Avenir" w:cs="Avenir" w:eastAsia="Avenir" w:hAnsi="Avenir"/>
          <w:color w:val="0e101a"/>
          <w:sz w:val="15"/>
          <w:szCs w:val="15"/>
          <w:rtl w:val="0"/>
        </w:rPr>
        <w:t xml:space="preserve">https://www.consilium.europa.eu/en/press/press-releases/2024/03/18/strategic-autonomy-council-gives-its-final-approval-on-the-critical-raw-materials-act/</w:t>
      </w:r>
      <w:r w:rsidDel="00000000" w:rsidR="00000000" w:rsidRPr="00000000">
        <w:rPr>
          <w:rtl w:val="0"/>
        </w:rPr>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[14] Agarwal S, Schmid C. What is an AI-driven circular economy? World Economic Forum. Published January 8, 2026. Accessed March 30, 2026. </w:t>
      </w:r>
      <w:r w:rsidDel="00000000" w:rsidR="00000000" w:rsidRPr="00000000">
        <w:rPr>
          <w:rFonts w:ascii="Avenir" w:cs="Avenir" w:eastAsia="Avenir" w:hAnsi="Avenir"/>
          <w:color w:val="0e101a"/>
          <w:sz w:val="15"/>
          <w:szCs w:val="15"/>
          <w:rtl w:val="0"/>
        </w:rPr>
        <w:t xml:space="preserve">https://www.weforum.org/stories/2026/01/what-is-ai-driven-circular-economy/</w:t>
      </w:r>
      <w:r w:rsidDel="00000000" w:rsidR="00000000" w:rsidRPr="00000000">
        <w:rPr>
          <w:rtl w:val="0"/>
        </w:rPr>
      </w:r>
    </w:p>
    <w:p w:rsidR="00000000" w:rsidDel="00000000" w:rsidP="00000000" w:rsidRDefault="00000000" w:rsidRPr="00000000" w14:paraId="0000001E">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[15] Stern N, Romani M, Pierfederici R, et al. Green and intelligent: the role of AI in the climate transition. npj Clim Action. 2025;4(1):56. doi:10.1038/s44168-025-00252-3</w:t>
      </w:r>
    </w:p>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[16] Cremona E, Czyzak P. Grids for Data Centres in Europe: Ambitious Grid Planning Can Win Europe's AI Race. Ember; 2025. Accessed March 30, 2026. </w:t>
      </w:r>
      <w:r w:rsidDel="00000000" w:rsidR="00000000" w:rsidRPr="00000000">
        <w:rPr>
          <w:rFonts w:ascii="Avenir" w:cs="Avenir" w:eastAsia="Avenir" w:hAnsi="Avenir"/>
          <w:color w:val="0e101a"/>
          <w:sz w:val="15"/>
          <w:szCs w:val="15"/>
          <w:rtl w:val="0"/>
        </w:rPr>
        <w:t xml:space="preserve">https://ember-energy.org/app/uploads/2025/06/Grids-for-data-centres-in-Europe.pdf</w:t>
      </w:r>
      <w:r w:rsidDel="00000000" w:rsidR="00000000" w:rsidRPr="00000000">
        <w:rPr>
          <w:rtl w:val="0"/>
        </w:rPr>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