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color w:val="3c3f42"/>
          <w:sz w:val="15"/>
          <w:szCs w:val="15"/>
        </w:rPr>
      </w:pPr>
      <w:r w:rsidDel="00000000" w:rsidR="00000000" w:rsidRPr="00000000">
        <w:rPr>
          <w:rFonts w:ascii="Avenir" w:cs="Avenir" w:eastAsia="Avenir" w:hAnsi="Avenir"/>
          <w:b w:val="1"/>
          <w:bCs w:val="1"/>
          <w:color w:val="5b9bd5"/>
          <w:sz w:val="24"/>
          <w:szCs w:val="24"/>
          <w:rtl w:val="0"/>
        </w:rPr>
        <w:t xml:space="preserve">Closing the Assurance Gap</w:t>
      </w:r>
      <w:r w:rsidDel="00000000" w:rsidR="00000000" w:rsidRPr="00000000">
        <w:rPr>
          <w:rtl w:val="0"/>
        </w:rPr>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after="160" w:line="240" w:lineRule="auto"/>
        <w:jc w:val="both"/>
        <w:rPr>
          <w:rFonts w:ascii="Avenir" w:cs="Avenir" w:eastAsia="Avenir" w:hAnsi="Avenir"/>
          <w:sz w:val="18"/>
          <w:szCs w:val="18"/>
        </w:rPr>
      </w:pPr>
      <w:r w:rsidDel="00000000" w:rsidR="00000000" w:rsidRPr="00000000">
        <w:rPr>
          <w:rFonts w:ascii="Avenir" w:cs="Avenir" w:eastAsia="Avenir" w:hAnsi="Avenir"/>
          <w:color w:val="3c3f42"/>
          <w:sz w:val="18"/>
          <w:szCs w:val="18"/>
          <w:rtl w:val="0"/>
        </w:rPr>
        <w:t xml:space="preserve">Outpacing Certification Cycles to Secure Industrial AI</w:t>
      </w:r>
      <w:r w:rsidDel="00000000" w:rsidR="00000000" w:rsidRPr="00000000">
        <w:rPr>
          <w:rtl w:val="0"/>
        </w:rPr>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Industrial AI is changing cybersecurity threats and defenses simultaneously. AI systems can find vulnerabilities, build adaptive attack strategies, and act at machine speed, making human-in-the-loop defense obsolete and highlighting the need for continuously learning AI defenders [1]. This creates a legal problem because certification requires a fixed, verifiable artifact, which is not suitable for certification of a self-adapting system [2]. Existing frameworks handle updates through delta certification and change control plans, assuming a human pre-defines permissible change boundaries [2,3]. However, because a continuously self-adapting industrial AI cannot pre-specify its behavioral envelope, its model space state shifts with each retraining cycle, meaning the certified artifact and the deployed system are never the same [2,3]. As AI-on-AI conflict outpaces certification cycles and quantum computing threatens hardware designed to last decades [4,5], the industry must transition to a paradigm where continuous, real-time assurance replaces static, point-in-time compliance to keep autonomous systems secure [1,2,3,8].</w:t>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Facts</w:t>
      </w:r>
    </w:p>
    <w:p w:rsidR="00000000" w:rsidDel="00000000" w:rsidP="00000000" w:rsidRDefault="00000000" w:rsidRPr="00000000" w14:paraId="00000006">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Manufacturing is the most cyber-attacked sector globally, accounting for 27.7% of incidents in 2025 for the fifth consecutive year [6]</w:t>
      </w:r>
      <w:r w:rsidDel="00000000" w:rsidR="00000000" w:rsidRPr="00000000">
        <w:rPr>
          <w:rFonts w:ascii="Avenir" w:cs="Avenir" w:eastAsia="Avenir" w:hAnsi="Avenir"/>
          <w:color w:val="3c3f42"/>
          <w:sz w:val="15"/>
          <w:szCs w:val="15"/>
          <w:rtl w:val="0"/>
        </w:rPr>
        <w:t xml:space="preserve">.</w:t>
      </w:r>
      <w:r w:rsidDel="00000000" w:rsidR="00000000" w:rsidRPr="00000000">
        <w:rPr>
          <w:rtl w:val="0"/>
        </w:rPr>
      </w:r>
    </w:p>
    <w:p w:rsidR="00000000" w:rsidDel="00000000" w:rsidP="00000000" w:rsidRDefault="00000000" w:rsidRPr="00000000" w14:paraId="00000007">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Conventional safety case methods cannot certify continuously learning ML systems, as the certified artifact and deployed system diverge after each retraining cycle [2].</w:t>
      </w:r>
    </w:p>
    <w:p w:rsidR="00000000" w:rsidDel="00000000" w:rsidP="00000000" w:rsidRDefault="00000000" w:rsidRPr="00000000" w14:paraId="00000008">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National Institute of Standards and Technology (NIST) post-quantum cryptography standards signal that systems built on current encryption face a security architecture crisis within their operational lifespans [4].</w:t>
      </w:r>
    </w:p>
    <w:p w:rsidR="00000000" w:rsidDel="00000000" w:rsidP="00000000" w:rsidRDefault="00000000" w:rsidRPr="00000000" w14:paraId="00000009">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65% of manufacturing executives rank operational risk, including cybersecurity breaches as a top concern as IT and OT convergence expands the attack surface [7,8]</w:t>
      </w:r>
      <w:r w:rsidDel="00000000" w:rsidR="00000000" w:rsidRPr="00000000">
        <w:rPr>
          <w:rFonts w:ascii="Avenir" w:cs="Avenir" w:eastAsia="Avenir" w:hAnsi="Avenir"/>
          <w:color w:val="3c3f42"/>
          <w:sz w:val="15"/>
          <w:szCs w:val="15"/>
          <w:rtl w:val="0"/>
        </w:rPr>
        <w:t xml:space="preserve">.</w:t>
      </w:r>
      <w:r w:rsidDel="00000000" w:rsidR="00000000" w:rsidRPr="00000000">
        <w:rPr>
          <w:rtl w:val="0"/>
        </w:rPr>
      </w:r>
    </w:p>
    <w:p w:rsidR="00000000" w:rsidDel="00000000" w:rsidP="00000000" w:rsidRDefault="00000000" w:rsidRPr="00000000" w14:paraId="0000000A">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B">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Key Drivers</w:t>
      </w:r>
      <w:r w:rsidDel="00000000" w:rsidR="00000000" w:rsidRPr="00000000">
        <w:rPr>
          <w:rtl w:val="0"/>
        </w:rPr>
      </w:r>
    </w:p>
    <w:p w:rsidR="00000000" w:rsidDel="00000000" w:rsidP="00000000" w:rsidRDefault="00000000" w:rsidRPr="00000000" w14:paraId="0000000C">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Because offensive AI adapts in real time, the speed asymmetry between attackers and certifiable defenders is structurally unbridgeable, with defensive AI relying on pre-approved boundaries that simply cannot be defined against an AI-driven threat landscape [1,3].</w:t>
      </w:r>
      <w:r w:rsidDel="00000000" w:rsidR="00000000" w:rsidRPr="00000000">
        <w:rPr>
          <w:rtl w:val="0"/>
        </w:rPr>
      </w:r>
    </w:p>
    <w:p w:rsidR="00000000" w:rsidDel="00000000" w:rsidP="00000000" w:rsidRDefault="00000000" w:rsidRPr="00000000" w14:paraId="0000000D">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IT and OT convergence in industrial environments expands the attack surface while increasing breach severity. A failure in one AI-enabled node can cascade across a production ecosystem, making continuous assurance an existential operational necessity. [7]</w:t>
      </w:r>
    </w:p>
    <w:p w:rsidR="00000000" w:rsidDel="00000000" w:rsidP="00000000" w:rsidRDefault="00000000" w:rsidRPr="00000000" w14:paraId="0000000E">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F">
      <w:pPr>
        <w:pBdr>
          <w:top w:color="000000" w:space="0" w:sz="0" w:val="none"/>
          <w:left w:color="000000" w:space="0" w:sz="0" w:val="none"/>
          <w:bottom w:color="000000" w:space="0" w:sz="0" w:val="none"/>
          <w:right w:color="000000" w:space="0" w:sz="0" w:val="none"/>
          <w:between w:color="000000" w:space="0" w:sz="0" w:val="none"/>
        </w:pBdr>
        <w:spacing w:line="259" w:lineRule="auto"/>
        <w:jc w:val="both"/>
        <w:rPr>
          <w:rFonts w:ascii="Avenir" w:cs="Avenir" w:eastAsia="Avenir" w:hAnsi="Avenir"/>
          <w:color w:val="3c3f42"/>
          <w:sz w:val="15"/>
          <w:szCs w:val="15"/>
        </w:rPr>
      </w:pPr>
      <w:r w:rsidDel="00000000" w:rsidR="00000000" w:rsidRPr="00000000">
        <w:rPr>
          <w:rFonts w:ascii="Avenir" w:cs="Avenir" w:eastAsia="Avenir" w:hAnsi="Avenir"/>
          <w:b w:val="1"/>
          <w:bCs w:val="1"/>
          <w:color w:val="024ea2"/>
          <w:sz w:val="15"/>
          <w:szCs w:val="15"/>
          <w:rtl w:val="0"/>
        </w:rPr>
        <w:t xml:space="preserve">Challenges</w:t>
      </w:r>
      <w:r w:rsidDel="00000000" w:rsidR="00000000" w:rsidRPr="00000000">
        <w:rPr>
          <w:rtl w:val="0"/>
        </w:rPr>
      </w:r>
    </w:p>
    <w:p w:rsidR="00000000" w:rsidDel="00000000" w:rsidP="00000000" w:rsidRDefault="00000000" w:rsidRPr="00000000" w14:paraId="00000010">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59"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The certification paradox for continuously self-adapting industrial AI has no legal resolution. Delta certification works for bounded, human-initiated changes but fails for systems that autonomously rewrite their behavioral parameters under adversarial pressure, leaving courts and vendors without an accountability construct. [1,2,3]</w:t>
      </w:r>
    </w:p>
    <w:p w:rsidR="00000000" w:rsidDel="00000000" w:rsidP="00000000" w:rsidRDefault="00000000" w:rsidRPr="00000000" w14:paraId="00000011">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59"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Compounding this certification paradox is the risk of geopolitical fragmentation, as multinational vendors may soon face incompatible compliance demands from the EU, US, and China with no international body mandated to resolve them [9].</w:t>
      </w:r>
    </w:p>
    <w:p w:rsidR="00000000" w:rsidDel="00000000" w:rsidP="00000000" w:rsidRDefault="00000000" w:rsidRPr="00000000" w14:paraId="00000012">
      <w:pPr>
        <w:pBdr>
          <w:top w:color="000000" w:space="0" w:sz="0" w:val="none"/>
          <w:left w:color="000000" w:space="0" w:sz="0" w:val="none"/>
          <w:bottom w:color="000000" w:space="0" w:sz="0" w:val="none"/>
          <w:right w:color="000000" w:space="0" w:sz="0" w:val="none"/>
          <w:between w:color="000000" w:space="0" w:sz="0" w:val="none"/>
        </w:pBdr>
        <w:spacing w:line="259" w:lineRule="auto"/>
        <w:jc w:val="both"/>
        <w:rPr>
          <w:rFonts w:ascii="Avenir" w:cs="Avenir" w:eastAsia="Avenir" w:hAnsi="Avenir"/>
          <w:b w:val="1"/>
          <w:bCs w:val="1"/>
          <w:color w:val="024ea2"/>
          <w:sz w:val="15"/>
          <w:szCs w:val="15"/>
        </w:rPr>
      </w:pPr>
      <w:r w:rsidDel="00000000" w:rsidR="00000000" w:rsidRPr="00000000">
        <w:rPr>
          <w:rtl w:val="0"/>
        </w:rPr>
      </w:r>
    </w:p>
    <w:p w:rsidR="00000000" w:rsidDel="00000000" w:rsidP="00000000" w:rsidRDefault="00000000" w:rsidRPr="00000000" w14:paraId="0000001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Impact on Industrial AI</w:t>
      </w:r>
    </w:p>
    <w:p w:rsidR="00000000" w:rsidDel="00000000" w:rsidP="00000000" w:rsidRDefault="00000000" w:rsidRPr="00000000" w14:paraId="00000014">
      <w:pPr>
        <w:pBdr>
          <w:top w:color="000000" w:space="0" w:sz="0" w:val="none"/>
          <w:left w:color="000000" w:space="0" w:sz="0" w:val="none"/>
          <w:bottom w:color="000000" w:space="0" w:sz="4" w:val="singl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The certification gap will become one of the defining legal constraints on industrial AI over the next 20 years. Even once new assurance frameworks are legislated, corporations typically require multiple years to integrate new security architectures before certification can begin, meaning regulatory responses routinely arrive after threats have evolved [10, 11]. Vendors building self-adapting industrial AI continuously will face a compounding legal vacuum. Early movers who build continuous assurance architectures combining runtime monitoring, automated anomaly reporting, and post-quantum-ready encryption will gain a durable competitive advantage as these practices transition from best practice to mandatory market-access requirements [4].</w:t>
      </w:r>
    </w:p>
    <w:p w:rsidR="00000000" w:rsidDel="00000000" w:rsidP="00000000" w:rsidRDefault="00000000" w:rsidRPr="00000000" w14:paraId="00000015">
      <w:pPr>
        <w:pBdr>
          <w:top w:color="000000" w:space="0" w:sz="0" w:val="none"/>
          <w:left w:color="000000" w:space="0" w:sz="0" w:val="none"/>
          <w:bottom w:color="000000" w:space="0" w:sz="4" w:val="singl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16">
      <w:pPr>
        <w:pBdr>
          <w:top w:color="000000" w:space="0" w:sz="0" w:val="none"/>
          <w:left w:color="000000" w:space="0" w:sz="0" w:val="none"/>
          <w:bottom w:color="000000" w:space="0" w:sz="0" w:val="none"/>
          <w:right w:color="000000" w:space="0" w:sz="0" w:val="none"/>
          <w:between w:color="000000" w:space="0" w:sz="0" w:val="none"/>
        </w:pBdr>
        <w:spacing w:after="120" w:before="300" w:line="240" w:lineRule="auto"/>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References:</w:t>
      </w:r>
    </w:p>
    <w:p w:rsidR="00000000" w:rsidDel="00000000" w:rsidP="00000000" w:rsidRDefault="00000000" w:rsidRPr="00000000" w14:paraId="00000017">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1155cc"/>
          <w:sz w:val="15"/>
          <w:szCs w:val="15"/>
          <w:u w:val="single"/>
        </w:rPr>
      </w:pPr>
      <w:r w:rsidDel="00000000" w:rsidR="00000000" w:rsidRPr="00000000">
        <w:rPr>
          <w:rFonts w:ascii="Avenir" w:cs="Avenir" w:eastAsia="Avenir" w:hAnsi="Avenir"/>
          <w:color w:val="0e101a"/>
          <w:sz w:val="15"/>
          <w:szCs w:val="15"/>
          <w:rtl w:val="0"/>
        </w:rPr>
        <w:t xml:space="preserve">[1] Lohn A, Knack A, Burke A, Jackson K. Autonomous Cyber Defence: A Roadmap from Lab to Ops. Centre for Emerging Technology and Security (CETaS), The Alan Turing Institute, and Center for Security and Emerging Technology (CSET), Georgetown University; June 2023. Accessed March 7, 2026. https://cetas.turing.ac.uk/sites/default/files/2023-06/autonomous_cyber_defence_final_report.pdf</w:t>
      </w:r>
      <w:r w:rsidDel="00000000" w:rsidR="00000000" w:rsidRPr="00000000">
        <w:rPr>
          <w:rtl w:val="0"/>
        </w:rPr>
      </w:r>
    </w:p>
    <w:p w:rsidR="00000000" w:rsidDel="00000000" w:rsidP="00000000" w:rsidRDefault="00000000" w:rsidRPr="00000000" w14:paraId="00000018">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Fonts w:ascii="Avenir" w:cs="Avenir" w:eastAsia="Avenir" w:hAnsi="Avenir"/>
          <w:color w:val="0e101a"/>
          <w:sz w:val="15"/>
          <w:szCs w:val="15"/>
          <w:rtl w:val="0"/>
        </w:rPr>
        <w:t xml:space="preserve">[2] Perez-Cerrolaza J, Abella J, Borg M, et al. Artificial intelligence for safety-critical systems in industrial and transportation domains: a survey. ACM Comput Surv. 2024;56(7):176. doi:10.1145/3626314</w:t>
      </w:r>
    </w:p>
    <w:p w:rsidR="00000000" w:rsidDel="00000000" w:rsidP="00000000" w:rsidRDefault="00000000" w:rsidRPr="00000000" w14:paraId="00000019">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Fonts w:ascii="Avenir" w:cs="Avenir" w:eastAsia="Avenir" w:hAnsi="Avenir"/>
          <w:color w:val="0e101a"/>
          <w:sz w:val="15"/>
          <w:szCs w:val="15"/>
          <w:rtl w:val="0"/>
        </w:rPr>
        <w:t xml:space="preserve">[3] Gilbert S, Fenech M, Hirsch M, Upadhyay S, Biasiucci A, Starlinger J. Algorithm change protocols in the regulation of adaptive machine learning–based medical devices. J Med Internet Res. 2021;23(10):e30545. doi:10.2196/30545</w:t>
      </w:r>
    </w:p>
    <w:p w:rsidR="00000000" w:rsidDel="00000000" w:rsidP="00000000" w:rsidRDefault="00000000" w:rsidRPr="00000000" w14:paraId="0000001A">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Fonts w:ascii="Avenir" w:cs="Avenir" w:eastAsia="Avenir" w:hAnsi="Avenir"/>
          <w:color w:val="0e101a"/>
          <w:sz w:val="15"/>
          <w:szCs w:val="15"/>
          <w:rtl w:val="0"/>
        </w:rPr>
        <w:t xml:space="preserve">[4] National Institute of Standards and Technology. Post-quantum cryptography. Published January 3, 2017. Accessed March 7, 2026. https://www.nist.gov/pqcrypto</w:t>
      </w:r>
    </w:p>
    <w:p w:rsidR="00000000" w:rsidDel="00000000" w:rsidP="00000000" w:rsidRDefault="00000000" w:rsidRPr="00000000" w14:paraId="0000001B">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Fonts w:ascii="Avenir" w:cs="Avenir" w:eastAsia="Avenir" w:hAnsi="Avenir"/>
          <w:color w:val="0e101a"/>
          <w:sz w:val="15"/>
          <w:szCs w:val="15"/>
          <w:rtl w:val="0"/>
        </w:rPr>
        <w:t xml:space="preserve">[5] McLaughlin S, Konstantinou C, Wang X, Davi L, Sadeghi A, Maniatakos M, et al. The cybersecurity landscape in industrial control systems. Proc IEEE. 2016;104(5):1039-1057. doi:10.1109/JPROC.2015.2512235</w:t>
      </w:r>
    </w:p>
    <w:p w:rsidR="00000000" w:rsidDel="00000000" w:rsidP="00000000" w:rsidRDefault="00000000" w:rsidRPr="00000000" w14:paraId="0000001C">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1155cc"/>
          <w:sz w:val="15"/>
          <w:szCs w:val="15"/>
          <w:u w:val="single"/>
        </w:rPr>
      </w:pPr>
      <w:r w:rsidDel="00000000" w:rsidR="00000000" w:rsidRPr="00000000">
        <w:rPr>
          <w:rFonts w:ascii="Avenir" w:cs="Avenir" w:eastAsia="Avenir" w:hAnsi="Avenir"/>
          <w:color w:val="0e101a"/>
          <w:sz w:val="15"/>
          <w:szCs w:val="15"/>
          <w:rtl w:val="0"/>
        </w:rPr>
        <w:t xml:space="preserve">[6] IBM Security. IBM X-Force Threat Intelligence Index 2026. IBM Think. Published February 25, 2026. Accessed March 7, 2026. https://www.ibm.com/think/premium/threat-intelligence-report-executive-summary</w:t>
      </w:r>
      <w:r w:rsidDel="00000000" w:rsidR="00000000" w:rsidRPr="00000000">
        <w:rPr>
          <w:rtl w:val="0"/>
        </w:rPr>
      </w:r>
    </w:p>
    <w:p w:rsidR="00000000" w:rsidDel="00000000" w:rsidP="00000000" w:rsidRDefault="00000000" w:rsidRPr="00000000" w14:paraId="0000001D">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Fonts w:ascii="Avenir" w:cs="Avenir" w:eastAsia="Avenir" w:hAnsi="Avenir"/>
          <w:color w:val="0e101a"/>
          <w:sz w:val="15"/>
          <w:szCs w:val="15"/>
          <w:rtl w:val="0"/>
        </w:rPr>
        <w:t xml:space="preserve">[7] Kok A, Martinetti A, Braaksma J. The impact of integrating information technology with operational technology in physical assets: a literature review. IEEE Access. 2024;12:111832-111845. doi:10.1109/ACCESS.2024.3442443</w:t>
      </w:r>
    </w:p>
    <w:p w:rsidR="00000000" w:rsidDel="00000000" w:rsidP="00000000" w:rsidRDefault="00000000" w:rsidRPr="00000000" w14:paraId="0000001E">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Fonts w:ascii="Avenir" w:cs="Avenir" w:eastAsia="Avenir" w:hAnsi="Avenir"/>
          <w:color w:val="0e101a"/>
          <w:sz w:val="15"/>
          <w:szCs w:val="15"/>
          <w:rtl w:val="0"/>
        </w:rPr>
        <w:t xml:space="preserve">[8] Gaus T, Schlotterbeck M. 2025 smart manufacturing and operations survey: navigating challenges to implementation. Deloitte Insights. Published May 1, 2025. Accessed March 3, 2026. https://www.deloitte.com/us/en/insights/industry/manufacturing/2025-smart-manufacturing-survey.html</w:t>
      </w:r>
    </w:p>
    <w:p w:rsidR="00000000" w:rsidDel="00000000" w:rsidP="00000000" w:rsidRDefault="00000000" w:rsidRPr="00000000" w14:paraId="0000001F">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Fonts w:ascii="Avenir" w:cs="Avenir" w:eastAsia="Avenir" w:hAnsi="Avenir"/>
          <w:color w:val="0e101a"/>
          <w:sz w:val="15"/>
          <w:szCs w:val="15"/>
          <w:rtl w:val="0"/>
        </w:rPr>
        <w:t xml:space="preserve">[9] Chun J, Schroeder de Witt C, Elkins K. Comparative global AI regulation: policy perspectives from the EU, China, and the US. arXiv. 2024;2410.21279. doi:10.48550/arXiv.2410.21279</w:t>
      </w:r>
    </w:p>
    <w:p w:rsidR="00000000" w:rsidDel="00000000" w:rsidP="00000000" w:rsidRDefault="00000000" w:rsidRPr="00000000" w14:paraId="00000020">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Fonts w:ascii="Avenir" w:cs="Avenir" w:eastAsia="Avenir" w:hAnsi="Avenir"/>
          <w:color w:val="0e101a"/>
          <w:sz w:val="15"/>
          <w:szCs w:val="15"/>
          <w:rtl w:val="0"/>
        </w:rPr>
        <w:t xml:space="preserve">[10] Kianpour M, Raza S. More than malware: unmasking the hidden risk of cybersecurity regulations. Int Cybersecur Law Rev. 2024;5:169-212. doi:10.1365/s43439-024-00111-7</w:t>
      </w:r>
    </w:p>
    <w:p w:rsidR="00000000" w:rsidDel="00000000" w:rsidP="00000000" w:rsidRDefault="00000000" w:rsidRPr="00000000" w14:paraId="00000021">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b w:val="1"/>
          <w:bCs w:val="1"/>
          <w:color w:val="024ea2"/>
          <w:sz w:val="15"/>
          <w:szCs w:val="15"/>
        </w:rPr>
      </w:pPr>
      <w:r w:rsidDel="00000000" w:rsidR="00000000" w:rsidRPr="00000000">
        <w:rPr>
          <w:rFonts w:ascii="Avenir" w:cs="Avenir" w:eastAsia="Avenir" w:hAnsi="Avenir"/>
          <w:color w:val="0e101a"/>
          <w:sz w:val="15"/>
          <w:szCs w:val="15"/>
          <w:rtl w:val="0"/>
        </w:rPr>
        <w:t xml:space="preserve">[11] Yousuf S, Lyon V. AI is raising the stakes in cybersecurity. Boston Consulting Group. Published December 18, 2025. Accessed March 31, 2026. https://www.bcg.com/publications/2025/ai-raising-stakes-in-cybersecurity</w:t>
      </w:r>
      <w:r w:rsidDel="00000000" w:rsidR="00000000" w:rsidRPr="00000000">
        <w:rPr>
          <w:rtl w:val="0"/>
        </w:rPr>
      </w:r>
    </w:p>
    <w:p w:rsidR="00000000" w:rsidDel="00000000" w:rsidP="00000000" w:rsidRDefault="00000000" w:rsidRPr="00000000" w14:paraId="00000022">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tl w:val="0"/>
        </w:rPr>
      </w:r>
    </w:p>
    <w:p w:rsidR="00000000" w:rsidDel="00000000" w:rsidP="00000000" w:rsidRDefault="00000000" w:rsidRPr="00000000" w14:paraId="00000023">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tl w:val="0"/>
        </w:rPr>
      </w:r>
    </w:p>
    <w:p w:rsidR="00000000" w:rsidDel="00000000" w:rsidP="00000000" w:rsidRDefault="00000000" w:rsidRPr="00000000" w14:paraId="00000024">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tl w:val="0"/>
        </w:rPr>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