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5b9bd5"/>
          <w:sz w:val="24"/>
          <w:szCs w:val="24"/>
          <w:rtl w:val="0"/>
        </w:rPr>
        <w:t xml:space="preserve">REWRITING THE RULES OF WORK</w:t>
      </w:r>
      <w:r w:rsidDel="00000000" w:rsidR="00000000" w:rsidRPr="00000000">
        <w:rPr>
          <w:rtl w:val="0"/>
        </w:rPr>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sz w:val="18"/>
          <w:szCs w:val="18"/>
        </w:rPr>
      </w:pPr>
      <w:r w:rsidDel="00000000" w:rsidR="00000000" w:rsidRPr="00000000">
        <w:rPr>
          <w:rFonts w:ascii="Avenir" w:cs="Avenir" w:eastAsia="Avenir" w:hAnsi="Avenir"/>
          <w:sz w:val="18"/>
          <w:szCs w:val="18"/>
          <w:rtl w:val="0"/>
        </w:rPr>
        <w:t xml:space="preserve">How AI-driven Displacement Demands New Labor, Tax, and Redistribution Policies</w:t>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sz w:val="18"/>
          <w:szCs w:val="18"/>
        </w:rPr>
      </w:pPr>
      <w:r w:rsidDel="00000000" w:rsidR="00000000" w:rsidRPr="00000000">
        <w:rPr>
          <w:rtl w:val="0"/>
        </w:rPr>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As AI and automation expand from routine manual work into cognitive tasks, the assumption that labor markets will continue to provide broad access to stable human work is beginning to erode [1,2]. The </w:t>
      </w:r>
      <w:r w:rsidDel="00000000" w:rsidR="00000000" w:rsidRPr="00000000">
        <w:rPr>
          <w:rFonts w:ascii="Avenir" w:cs="Avenir" w:eastAsia="Avenir" w:hAnsi="Avenir"/>
          <w:color w:val="3c3f42"/>
          <w:sz w:val="15"/>
          <w:szCs w:val="15"/>
          <w:rtl w:val="0"/>
        </w:rPr>
        <w:t xml:space="preserve">W</w:t>
      </w:r>
      <w:r w:rsidDel="00000000" w:rsidR="00000000" w:rsidRPr="00000000">
        <w:rPr>
          <w:rFonts w:ascii="Avenir" w:cs="Avenir" w:eastAsia="Avenir" w:hAnsi="Avenir"/>
          <w:color w:val="3c3f42"/>
          <w:sz w:val="15"/>
          <w:szCs w:val="15"/>
          <w:rtl w:val="0"/>
        </w:rPr>
        <w:t xml:space="preserve">EF projects that the human share of work tasks will fall from 47% to 33% by 2030, with 82% of this decline driven by automation [3]. This penetration into cognitive work devalues accumulated human skills, compressing wage returns on prior education and training across entire occupational categories [2,3,4]. Fewer workers in taxable employment shrink the revenue base funding public pensions and unemployment insurance, while simultaneously increasing demand for social transfers to compensate the displaced [5]. This dual fiscal pressure, combined with the legal obligation of states to guarantee the right to work under Article 23 of the Universal Declaration of Human Rights [6] and national constitutions, such as Germany’s Article 12 Basic Law [7], forces governments to reconsider their policy frameworks. </w:t>
      </w:r>
      <w:r w:rsidDel="00000000" w:rsidR="00000000" w:rsidRPr="00000000">
        <w:rPr>
          <w:rFonts w:ascii="Avenir" w:cs="Avenir" w:eastAsia="Avenir" w:hAnsi="Avenir"/>
          <w:color w:val="3c3f42"/>
          <w:sz w:val="15"/>
          <w:szCs w:val="15"/>
          <w:rtl w:val="0"/>
        </w:rPr>
        <w:t xml:space="preserve">Proposed responses range from AI taxes levied on model providers to redistribute productivity gains to universal basic income transfers, to guarantee meaningful economic participation [1,2,8,12].</w:t>
      </w:r>
      <w:r w:rsidDel="00000000" w:rsidR="00000000" w:rsidRPr="00000000">
        <w:rPr>
          <w:rtl w:val="0"/>
        </w:rPr>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Facts</w:t>
      </w:r>
    </w:p>
    <w:p w:rsidR="00000000" w:rsidDel="00000000" w:rsidP="00000000" w:rsidRDefault="00000000" w:rsidRPr="00000000" w14:paraId="00000007">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PwC estimates that AI automation could affect 45% of manufacturing jobs in European, North American, and Asian economies in the next decade, disproportionately affecting workers with lower skill levels [9].</w:t>
      </w:r>
      <w:r w:rsidDel="00000000" w:rsidR="00000000" w:rsidRPr="00000000">
        <w:rPr>
          <w:rtl w:val="0"/>
        </w:rPr>
      </w:r>
    </w:p>
    <w:p w:rsidR="00000000" w:rsidDel="00000000" w:rsidP="00000000" w:rsidRDefault="00000000" w:rsidRPr="00000000" w14:paraId="00000008">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11% of workers are projected to be unable to upskill by 2030, facing structural exclusion with no employer-foreseen transition pathway, while a further 41% would need no retraining at all [3].</w:t>
      </w:r>
    </w:p>
    <w:p w:rsidR="00000000" w:rsidDel="00000000" w:rsidP="00000000" w:rsidRDefault="00000000" w:rsidRPr="00000000" w14:paraId="00000009">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Employment-linked taxes account for nearly half of total OECD tax revenues on average, directly funding public pensions, unemployment insurance, and healthcare across member states [5].</w:t>
      </w:r>
    </w:p>
    <w:p w:rsidR="00000000" w:rsidDel="00000000" w:rsidP="00000000" w:rsidRDefault="00000000" w:rsidRPr="00000000" w14:paraId="0000000A">
      <w:pPr>
        <w:pBdr>
          <w:top w:color="000000" w:space="0" w:sz="0" w:val="none"/>
          <w:left w:color="000000" w:space="0" w:sz="0" w:val="none"/>
          <w:bottom w:color="000000" w:space="0" w:sz="0" w:val="none"/>
          <w:right w:color="000000" w:space="0" w:sz="0" w:val="none"/>
          <w:between w:color="000000" w:space="0" w:sz="0" w:val="none"/>
        </w:pBdr>
        <w:spacing w:line="240" w:lineRule="auto"/>
        <w:ind w:left="720" w:firstLine="0"/>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B">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Key Drivers</w:t>
      </w:r>
    </w:p>
    <w:p w:rsidR="00000000" w:rsidDel="00000000" w:rsidP="00000000" w:rsidRDefault="00000000" w:rsidRPr="00000000" w14:paraId="0000000C">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Automation is extending into cognitive tasks previously considered replacement-resistant, while devaluing skills workers have already acquired, making displacement broader and harder to reverse through conventional reskilling [2,3,4].</w:t>
      </w:r>
    </w:p>
    <w:p w:rsidR="00000000" w:rsidDel="00000000" w:rsidP="00000000" w:rsidRDefault="00000000" w:rsidRPr="00000000" w14:paraId="0000000D">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Productivity gains from AI concentrate on capital owners and highly skilled workers. Disruption disproportionately affects younger and lower-skilled workers, generating distributional imbalances with direct political pressure.[1,2]</w:t>
      </w:r>
    </w:p>
    <w:p w:rsidR="00000000" w:rsidDel="00000000" w:rsidP="00000000" w:rsidRDefault="00000000" w:rsidRPr="00000000" w14:paraId="0000000E">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As unionization fell from 33.5% in 1954 to 10.1% in 2022 [10], collective bargaining capacity is declin</w:t>
      </w:r>
      <w:r w:rsidDel="00000000" w:rsidR="00000000" w:rsidRPr="00000000">
        <w:rPr>
          <w:rFonts w:ascii="Avenir" w:cs="Avenir" w:eastAsia="Avenir" w:hAnsi="Avenir"/>
          <w:color w:val="3c3f42"/>
          <w:sz w:val="15"/>
          <w:szCs w:val="15"/>
          <w:rtl w:val="0"/>
        </w:rPr>
        <w:t xml:space="preserve">ing, shifting responsibility for worker protection increasingly towards governments and regulators [11].</w:t>
      </w:r>
    </w:p>
    <w:p w:rsidR="00000000" w:rsidDel="00000000" w:rsidP="00000000" w:rsidRDefault="00000000" w:rsidRPr="00000000" w14:paraId="0000000F">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10">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Challenges</w:t>
      </w:r>
    </w:p>
    <w:p w:rsidR="00000000" w:rsidDel="00000000" w:rsidP="00000000" w:rsidRDefault="00000000" w:rsidRPr="00000000" w14:paraId="00000011">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 xml:space="preserve">Taxing automation is difficult as there is no legal consensus on how to define a robot or AI system. Furthermore, these policies require international coordination to prevent trade retaliation and double taxation, and to ensure that early-adopting countries remain competitive [12].</w:t>
      </w:r>
    </w:p>
    <w:p w:rsidR="00000000" w:rsidDel="00000000" w:rsidP="00000000" w:rsidRDefault="00000000" w:rsidRPr="00000000" w14:paraId="00000012">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The net employment effects of AI remain sharply contested, as some studies predict substantial displacement while others anticipate net job growth through productivity gains, making it difficult to calibrate the scale of legislative response [3,13].</w:t>
      </w:r>
    </w:p>
    <w:p w:rsidR="00000000" w:rsidDel="00000000" w:rsidP="00000000" w:rsidRDefault="00000000" w:rsidRPr="00000000" w14:paraId="00000013">
      <w:pPr>
        <w:pBdr>
          <w:top w:color="000000" w:space="0" w:sz="0" w:val="none"/>
          <w:left w:color="000000" w:space="0" w:sz="0" w:val="none"/>
          <w:bottom w:color="000000" w:space="0" w:sz="0" w:val="none"/>
          <w:right w:color="000000" w:space="0" w:sz="0" w:val="none"/>
          <w:between w:color="000000" w:space="0" w:sz="0" w:val="none"/>
        </w:pBdr>
        <w:spacing w:line="240" w:lineRule="auto"/>
        <w:ind w:left="720" w:firstLine="0"/>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1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Impact on Industrial AI</w:t>
      </w:r>
    </w:p>
    <w:p w:rsidR="00000000" w:rsidDel="00000000" w:rsidP="00000000" w:rsidRDefault="00000000" w:rsidRPr="00000000" w14:paraId="0000001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For industrial AI developers and adopters, this trend creates direct fiscal and political exposure. As governments face shrinking </w:t>
      </w:r>
      <w:r w:rsidDel="00000000" w:rsidR="00000000" w:rsidRPr="00000000">
        <w:rPr>
          <w:rFonts w:ascii="Avenir" w:cs="Avenir" w:eastAsia="Avenir" w:hAnsi="Avenir"/>
          <w:b w:val="1"/>
          <w:bCs w:val="1"/>
          <w:color w:val="3c3f42"/>
          <w:sz w:val="15"/>
          <w:szCs w:val="15"/>
          <w:rtl w:val="0"/>
        </w:rPr>
        <w:t xml:space="preserve">payroll</w:t>
      </w:r>
      <w:r w:rsidDel="00000000" w:rsidR="00000000" w:rsidRPr="00000000">
        <w:rPr>
          <w:rFonts w:ascii="Avenir" w:cs="Avenir" w:eastAsia="Avenir" w:hAnsi="Avenir"/>
          <w:color w:val="3c3f42"/>
          <w:sz w:val="15"/>
          <w:szCs w:val="15"/>
          <w:rtl w:val="0"/>
        </w:rPr>
        <w:t xml:space="preserve"> tax revenues </w:t>
      </w:r>
      <w:r w:rsidDel="00000000" w:rsidR="00000000" w:rsidRPr="00000000">
        <w:rPr>
          <w:rFonts w:ascii="Avenir" w:cs="Avenir" w:eastAsia="Avenir" w:hAnsi="Avenir"/>
          <w:b w:val="1"/>
          <w:bCs w:val="1"/>
          <w:color w:val="3c3f42"/>
          <w:sz w:val="15"/>
          <w:szCs w:val="15"/>
          <w:rtl w:val="0"/>
        </w:rPr>
        <w:t xml:space="preserve">and</w:t>
      </w:r>
      <w:r w:rsidDel="00000000" w:rsidR="00000000" w:rsidRPr="00000000">
        <w:rPr>
          <w:rFonts w:ascii="Avenir" w:cs="Avenir" w:eastAsia="Avenir" w:hAnsi="Avenir"/>
          <w:color w:val="3c3f42"/>
          <w:sz w:val="15"/>
          <w:szCs w:val="15"/>
          <w:rtl w:val="0"/>
        </w:rPr>
        <w:t xml:space="preserve"> rising demand for social transfers [5], they will scrutinize firms driving displacement [12]. Whether AI augments or replaces workers is not technologically </w:t>
      </w:r>
      <w:r w:rsidDel="00000000" w:rsidR="00000000" w:rsidRPr="00000000">
        <w:rPr>
          <w:rFonts w:ascii="Avenir" w:cs="Avenir" w:eastAsia="Avenir" w:hAnsi="Avenir"/>
          <w:b w:val="1"/>
          <w:bCs w:val="1"/>
          <w:color w:val="3c3f42"/>
          <w:sz w:val="15"/>
          <w:szCs w:val="15"/>
          <w:rtl w:val="0"/>
        </w:rPr>
        <w:t xml:space="preserve">predetermined</w:t>
      </w:r>
      <w:r w:rsidDel="00000000" w:rsidR="00000000" w:rsidRPr="00000000">
        <w:rPr>
          <w:rFonts w:ascii="Avenir" w:cs="Avenir" w:eastAsia="Avenir" w:hAnsi="Avenir"/>
          <w:color w:val="3c3f42"/>
          <w:sz w:val="15"/>
          <w:szCs w:val="15"/>
          <w:rtl w:val="0"/>
        </w:rPr>
        <w:t xml:space="preserve"> but shaped by firm-level design choices, making workforce strategy a site of legal and political accountability [14]. Past automation shocks show adjustment burdens fall disproportionately on younger workers and industry-switchers, increasing the </w:t>
      </w:r>
      <w:r w:rsidDel="00000000" w:rsidR="00000000" w:rsidRPr="00000000">
        <w:rPr>
          <w:rFonts w:ascii="Avenir" w:cs="Avenir" w:eastAsia="Avenir" w:hAnsi="Avenir"/>
          <w:b w:val="1"/>
          <w:bCs w:val="1"/>
          <w:color w:val="3c3f42"/>
          <w:sz w:val="15"/>
          <w:szCs w:val="15"/>
          <w:rtl w:val="0"/>
        </w:rPr>
        <w:t xml:space="preserve">risk</w:t>
      </w:r>
      <w:r w:rsidDel="00000000" w:rsidR="00000000" w:rsidRPr="00000000">
        <w:rPr>
          <w:rFonts w:ascii="Avenir" w:cs="Avenir" w:eastAsia="Avenir" w:hAnsi="Avenir"/>
          <w:color w:val="3c3f42"/>
          <w:sz w:val="15"/>
          <w:szCs w:val="15"/>
          <w:rtl w:val="0"/>
        </w:rPr>
        <w:t xml:space="preserve"> of mandatory contribution obligations [15]. Firms designing for human-AI complementarity will be better positioned to assume proactive duties to protect human employment as policy debates transition into binding law [1,2].</w:t>
      </w:r>
    </w:p>
    <w:p w:rsidR="00000000" w:rsidDel="00000000" w:rsidP="00000000" w:rsidRDefault="00000000" w:rsidRPr="00000000" w14:paraId="00000016">
      <w:pPr>
        <w:pBdr>
          <w:top w:color="000000" w:space="0" w:sz="0" w:val="none"/>
          <w:left w:color="000000" w:space="0" w:sz="0" w:val="none"/>
          <w:bottom w:color="000000" w:space="0" w:sz="0" w:val="none"/>
          <w:right w:color="000000" w:space="0" w:sz="0" w:val="none"/>
          <w:between w:color="000000" w:space="0" w:sz="0" w:val="none"/>
        </w:pBdr>
        <w:spacing w:after="120" w:before="300" w:line="240" w:lineRule="auto"/>
        <w:rPr>
          <w:rFonts w:ascii="Avenir" w:cs="Avenir" w:eastAsia="Avenir" w:hAnsi="Avenir"/>
          <w:color w:val="3c3f42"/>
          <w:sz w:val="15"/>
          <w:szCs w:val="15"/>
        </w:rPr>
      </w:pPr>
      <w:r w:rsidDel="00000000" w:rsidR="00000000" w:rsidRPr="00000000">
        <w:rPr>
          <w:rFonts w:ascii="Avenir" w:cs="Avenir" w:eastAsia="Avenir" w:hAnsi="Avenir"/>
          <w:b w:val="1"/>
          <w:bCs w:val="1"/>
          <w:color w:val="024ea2"/>
          <w:sz w:val="15"/>
          <w:szCs w:val="15"/>
          <w:rtl w:val="0"/>
        </w:rPr>
        <w:t xml:space="preserve">References:</w:t>
      </w:r>
      <w:r w:rsidDel="00000000" w:rsidR="00000000" w:rsidRPr="00000000">
        <w:rPr>
          <w:rtl w:val="0"/>
        </w:rPr>
      </w:r>
    </w:p>
    <w:p w:rsidR="00000000" w:rsidDel="00000000" w:rsidP="00000000" w:rsidRDefault="00000000" w:rsidRPr="00000000" w14:paraId="00000017">
      <w:pPr>
        <w:numPr>
          <w:ilvl w:val="0"/>
          <w:numId w:val="3"/>
        </w:numPr>
        <w:pBdr>
          <w:top w:color="000000" w:space="2" w:sz="0" w:val="none"/>
          <w:left w:color="000000" w:space="0" w:sz="0" w:val="none"/>
          <w:bottom w:color="000000" w:space="0" w:sz="0" w:val="none"/>
          <w:right w:color="000000" w:space="0" w:sz="0" w:val="none"/>
          <w:between w:color="000000" w:space="0" w:sz="0" w:val="none"/>
        </w:pBdr>
        <w:spacing w:line="240" w:lineRule="auto"/>
        <w:ind w:left="360"/>
        <w:rPr>
          <w:rFonts w:ascii="Avenir" w:cs="Avenir" w:eastAsia="Avenir" w:hAnsi="Avenir"/>
          <w:sz w:val="15"/>
          <w:szCs w:val="15"/>
        </w:rPr>
      </w:pPr>
      <w:r w:rsidDel="00000000" w:rsidR="00000000" w:rsidRPr="00000000">
        <w:rPr>
          <w:rFonts w:ascii="Avenir" w:cs="Avenir" w:eastAsia="Avenir" w:hAnsi="Avenir"/>
          <w:sz w:val="15"/>
          <w:szCs w:val="15"/>
          <w:rtl w:val="0"/>
        </w:rPr>
        <w:t xml:space="preserve">Campa R. Human right to work and humanlike AI at work: technological unemployment as a legal and ethical issue. Stud Iuridica Lublinensia. 2025;34(2):375-394. doi:10.17951/sil.2025.34.2.375-394</w:t>
      </w:r>
    </w:p>
    <w:p w:rsidR="00000000" w:rsidDel="00000000" w:rsidP="00000000" w:rsidRDefault="00000000" w:rsidRPr="00000000" w14:paraId="00000018">
      <w:pPr>
        <w:numPr>
          <w:ilvl w:val="0"/>
          <w:numId w:val="3"/>
        </w:numPr>
        <w:pBdr>
          <w:top w:color="000000" w:space="2" w:sz="0" w:val="none"/>
          <w:left w:color="000000" w:space="0" w:sz="0" w:val="none"/>
          <w:bottom w:color="000000" w:space="0" w:sz="0" w:val="none"/>
          <w:right w:color="000000" w:space="0" w:sz="0" w:val="none"/>
          <w:between w:color="000000" w:space="0" w:sz="0" w:val="none"/>
        </w:pBdr>
        <w:spacing w:line="240" w:lineRule="auto"/>
        <w:ind w:left="360"/>
        <w:rPr>
          <w:rFonts w:ascii="Avenir" w:cs="Avenir" w:eastAsia="Avenir" w:hAnsi="Avenir"/>
          <w:sz w:val="15"/>
          <w:szCs w:val="15"/>
        </w:rPr>
      </w:pPr>
      <w:r w:rsidDel="00000000" w:rsidR="00000000" w:rsidRPr="00000000">
        <w:rPr>
          <w:rFonts w:ascii="Avenir" w:cs="Avenir" w:eastAsia="Avenir" w:hAnsi="Avenir"/>
          <w:sz w:val="15"/>
          <w:szCs w:val="15"/>
          <w:rtl w:val="0"/>
        </w:rPr>
        <w:t xml:space="preserve">Tyson L, Zysman J. Automation, AI &amp; Work. Daedalus. 2022;151(2):256-271. doi:10.1162/daed_a_01914</w:t>
      </w:r>
    </w:p>
    <w:p w:rsidR="00000000" w:rsidDel="00000000" w:rsidP="00000000" w:rsidRDefault="00000000" w:rsidRPr="00000000" w14:paraId="00000019">
      <w:pPr>
        <w:numPr>
          <w:ilvl w:val="0"/>
          <w:numId w:val="3"/>
        </w:numPr>
        <w:pBdr>
          <w:top w:color="000000" w:space="2" w:sz="0" w:val="none"/>
          <w:left w:color="000000" w:space="0" w:sz="0" w:val="none"/>
          <w:bottom w:color="000000" w:space="0" w:sz="0" w:val="none"/>
          <w:right w:color="000000" w:space="0" w:sz="0" w:val="none"/>
          <w:between w:color="000000" w:space="0" w:sz="0" w:val="none"/>
        </w:pBdr>
        <w:spacing w:line="240" w:lineRule="auto"/>
        <w:ind w:left="360"/>
        <w:rPr>
          <w:rFonts w:ascii="Avenir" w:cs="Avenir" w:eastAsia="Avenir" w:hAnsi="Avenir"/>
          <w:sz w:val="15"/>
          <w:szCs w:val="15"/>
        </w:rPr>
      </w:pPr>
      <w:r w:rsidDel="00000000" w:rsidR="00000000" w:rsidRPr="00000000">
        <w:rPr>
          <w:rFonts w:ascii="Avenir" w:cs="Avenir" w:eastAsia="Avenir" w:hAnsi="Avenir"/>
          <w:sz w:val="15"/>
          <w:szCs w:val="15"/>
          <w:rtl w:val="0"/>
        </w:rPr>
        <w:t xml:space="preserve">World Economic Forum. Future of Jobs Report 2025. World Economic Forum; January 2025. https://www.weforum.org/reports/the-future-of-jobs-report-2025/. Accessed March 8, 2026.</w:t>
      </w:r>
    </w:p>
    <w:p w:rsidR="00000000" w:rsidDel="00000000" w:rsidP="00000000" w:rsidRDefault="00000000" w:rsidRPr="00000000" w14:paraId="0000001A">
      <w:pPr>
        <w:numPr>
          <w:ilvl w:val="0"/>
          <w:numId w:val="3"/>
        </w:numPr>
        <w:pBdr>
          <w:top w:color="000000" w:space="2" w:sz="0" w:val="none"/>
          <w:left w:color="000000" w:space="0" w:sz="0" w:val="none"/>
          <w:bottom w:color="000000" w:space="0" w:sz="0" w:val="none"/>
          <w:right w:color="000000" w:space="0" w:sz="0" w:val="none"/>
          <w:between w:color="000000" w:space="0" w:sz="0" w:val="none"/>
        </w:pBdr>
        <w:spacing w:line="240" w:lineRule="auto"/>
        <w:ind w:left="360"/>
        <w:rPr>
          <w:rFonts w:ascii="Avenir" w:cs="Avenir" w:eastAsia="Avenir" w:hAnsi="Avenir"/>
          <w:sz w:val="15"/>
          <w:szCs w:val="15"/>
        </w:rPr>
      </w:pPr>
      <w:r w:rsidDel="00000000" w:rsidR="00000000" w:rsidRPr="00000000">
        <w:rPr>
          <w:rFonts w:ascii="Avenir" w:cs="Avenir" w:eastAsia="Avenir" w:hAnsi="Avenir"/>
          <w:sz w:val="15"/>
          <w:szCs w:val="15"/>
          <w:rtl w:val="0"/>
        </w:rPr>
        <w:t xml:space="preserve">Acemoglu D, Restrepo P. Robots and jobs: evidence from US labor markets. J Polit Econ. 2020;128(6):2188-2244. doi:10.1086/705716</w:t>
      </w:r>
    </w:p>
    <w:p w:rsidR="00000000" w:rsidDel="00000000" w:rsidP="00000000" w:rsidRDefault="00000000" w:rsidRPr="00000000" w14:paraId="0000001B">
      <w:pPr>
        <w:numPr>
          <w:ilvl w:val="0"/>
          <w:numId w:val="3"/>
        </w:numPr>
        <w:pBdr>
          <w:top w:color="000000" w:space="2" w:sz="0" w:val="none"/>
          <w:left w:color="000000" w:space="0" w:sz="0" w:val="none"/>
          <w:bottom w:color="000000" w:space="0" w:sz="0" w:val="none"/>
          <w:right w:color="000000" w:space="0" w:sz="0" w:val="none"/>
          <w:between w:color="000000" w:space="0" w:sz="0" w:val="none"/>
        </w:pBdr>
        <w:spacing w:line="240" w:lineRule="auto"/>
        <w:ind w:left="360"/>
        <w:rPr>
          <w:rFonts w:ascii="Avenir" w:cs="Avenir" w:eastAsia="Avenir" w:hAnsi="Avenir"/>
          <w:sz w:val="15"/>
          <w:szCs w:val="15"/>
        </w:rPr>
      </w:pPr>
      <w:r w:rsidDel="00000000" w:rsidR="00000000" w:rsidRPr="00000000">
        <w:rPr>
          <w:rFonts w:ascii="Avenir" w:cs="Avenir" w:eastAsia="Avenir" w:hAnsi="Avenir"/>
          <w:sz w:val="15"/>
          <w:szCs w:val="15"/>
          <w:rtl w:val="0"/>
        </w:rPr>
        <w:t xml:space="preserve">OECD. Revenue Statistics 2025. OECD Publishing; December 9, 2025. https://www.oecd.org/en/publications/2025/12/revenue-statistics-2025_07ca0a8e.html. Accessed March 9, 2026.</w:t>
      </w:r>
    </w:p>
    <w:p w:rsidR="00000000" w:rsidDel="00000000" w:rsidP="00000000" w:rsidRDefault="00000000" w:rsidRPr="00000000" w14:paraId="0000001C">
      <w:pPr>
        <w:numPr>
          <w:ilvl w:val="0"/>
          <w:numId w:val="3"/>
        </w:numPr>
        <w:pBdr>
          <w:top w:color="000000" w:space="2" w:sz="0" w:val="none"/>
          <w:left w:color="000000" w:space="0" w:sz="0" w:val="none"/>
          <w:bottom w:color="000000" w:space="0" w:sz="0" w:val="none"/>
          <w:right w:color="000000" w:space="0" w:sz="0" w:val="none"/>
          <w:between w:color="000000" w:space="0" w:sz="0" w:val="none"/>
        </w:pBdr>
        <w:spacing w:line="240" w:lineRule="auto"/>
        <w:ind w:left="360"/>
        <w:rPr>
          <w:rFonts w:ascii="Avenir" w:cs="Avenir" w:eastAsia="Avenir" w:hAnsi="Avenir"/>
          <w:sz w:val="15"/>
          <w:szCs w:val="15"/>
        </w:rPr>
      </w:pPr>
      <w:r w:rsidDel="00000000" w:rsidR="00000000" w:rsidRPr="00000000">
        <w:rPr>
          <w:rFonts w:ascii="Avenir" w:cs="Avenir" w:eastAsia="Avenir" w:hAnsi="Avenir"/>
          <w:sz w:val="15"/>
          <w:szCs w:val="15"/>
          <w:rtl w:val="0"/>
        </w:rPr>
        <w:t xml:space="preserve">United Nations. Universal Declaration of Human Rights. Adopted December 10, 1948. https://www.un.org/en/about-us/universal-declaration-of-human-rights. Accessed March 3, 2026.</w:t>
      </w:r>
    </w:p>
    <w:p w:rsidR="00000000" w:rsidDel="00000000" w:rsidP="00000000" w:rsidRDefault="00000000" w:rsidRPr="00000000" w14:paraId="0000001D">
      <w:pPr>
        <w:numPr>
          <w:ilvl w:val="0"/>
          <w:numId w:val="3"/>
        </w:numPr>
        <w:pBdr>
          <w:top w:color="000000" w:space="2" w:sz="0" w:val="none"/>
          <w:left w:color="000000" w:space="0" w:sz="0" w:val="none"/>
          <w:bottom w:color="000000" w:space="0" w:sz="0" w:val="none"/>
          <w:right w:color="000000" w:space="0" w:sz="0" w:val="none"/>
          <w:between w:color="000000" w:space="0" w:sz="0" w:val="none"/>
        </w:pBdr>
        <w:spacing w:line="240" w:lineRule="auto"/>
        <w:ind w:left="360"/>
        <w:rPr>
          <w:rFonts w:ascii="Avenir" w:cs="Avenir" w:eastAsia="Avenir" w:hAnsi="Avenir"/>
          <w:sz w:val="15"/>
          <w:szCs w:val="15"/>
        </w:rPr>
      </w:pPr>
      <w:r w:rsidDel="00000000" w:rsidR="00000000" w:rsidRPr="00000000">
        <w:rPr>
          <w:rFonts w:ascii="Avenir" w:cs="Avenir" w:eastAsia="Avenir" w:hAnsi="Avenir"/>
          <w:sz w:val="15"/>
          <w:szCs w:val="15"/>
          <w:rtl w:val="0"/>
        </w:rPr>
        <w:t xml:space="preserve">Federal Republic of Germany. Basic Law for the Federal Republic of Germany (Grundgesetz). May 23, 1949. https://www.gesetze-im-internet.de/englisch_gg/. Accessed March 3, 2026.</w:t>
      </w:r>
    </w:p>
    <w:p w:rsidR="00000000" w:rsidDel="00000000" w:rsidP="00000000" w:rsidRDefault="00000000" w:rsidRPr="00000000" w14:paraId="0000001E">
      <w:pPr>
        <w:numPr>
          <w:ilvl w:val="0"/>
          <w:numId w:val="3"/>
        </w:numPr>
        <w:pBdr>
          <w:top w:color="000000" w:space="2" w:sz="0" w:val="none"/>
          <w:left w:color="000000" w:space="0" w:sz="0" w:val="none"/>
          <w:bottom w:color="000000" w:space="0" w:sz="0" w:val="none"/>
          <w:right w:color="000000" w:space="0" w:sz="0" w:val="none"/>
          <w:between w:color="000000" w:space="0" w:sz="0" w:val="none"/>
        </w:pBdr>
        <w:spacing w:line="240" w:lineRule="auto"/>
        <w:ind w:left="360"/>
        <w:rPr>
          <w:rFonts w:ascii="Avenir" w:cs="Avenir" w:eastAsia="Avenir" w:hAnsi="Avenir"/>
          <w:sz w:val="15"/>
          <w:szCs w:val="15"/>
        </w:rPr>
      </w:pPr>
      <w:r w:rsidDel="00000000" w:rsidR="00000000" w:rsidRPr="00000000">
        <w:rPr>
          <w:rFonts w:ascii="Avenir" w:cs="Avenir" w:eastAsia="Avenir" w:hAnsi="Avenir"/>
          <w:sz w:val="15"/>
          <w:szCs w:val="15"/>
          <w:rtl w:val="0"/>
        </w:rPr>
        <w:t xml:space="preserve">Herke B, Vicsek L. The attitudes of young citizens in higher education towards universal basic income in the context of automation. Int J Soc Welf. 2022;31(3):310-322. doi:10.1111/ijsw.12533</w:t>
      </w:r>
    </w:p>
    <w:p w:rsidR="00000000" w:rsidDel="00000000" w:rsidP="00000000" w:rsidRDefault="00000000" w:rsidRPr="00000000" w14:paraId="0000001F">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360"/>
        <w:jc w:val="both"/>
        <w:rPr>
          <w:rFonts w:ascii="Avenir" w:cs="Avenir" w:eastAsia="Avenir" w:hAnsi="Avenir"/>
          <w:sz w:val="15"/>
          <w:szCs w:val="15"/>
        </w:rPr>
      </w:pPr>
      <w:r w:rsidDel="00000000" w:rsidR="00000000" w:rsidRPr="00000000">
        <w:rPr>
          <w:rFonts w:ascii="Avenir" w:cs="Avenir" w:eastAsia="Avenir" w:hAnsi="Avenir"/>
          <w:sz w:val="15"/>
          <w:szCs w:val="15"/>
          <w:rtl w:val="0"/>
        </w:rPr>
        <w:t xml:space="preserve">Hawksworth J, Berriman R, Goel S. </w:t>
      </w:r>
      <w:r w:rsidDel="00000000" w:rsidR="00000000" w:rsidRPr="00000000">
        <w:rPr>
          <w:rFonts w:ascii="Avenir" w:cs="Avenir" w:eastAsia="Avenir" w:hAnsi="Avenir"/>
          <w:i w:val="1"/>
          <w:iCs w:val="1"/>
          <w:sz w:val="15"/>
          <w:szCs w:val="15"/>
          <w:rtl w:val="0"/>
        </w:rPr>
        <w:t xml:space="preserve">Will robots really steal our jobs? An international analysis of the potential long term impact of automation</w:t>
      </w:r>
      <w:r w:rsidDel="00000000" w:rsidR="00000000" w:rsidRPr="00000000">
        <w:rPr>
          <w:rFonts w:ascii="Avenir" w:cs="Avenir" w:eastAsia="Avenir" w:hAnsi="Avenir"/>
          <w:sz w:val="15"/>
          <w:szCs w:val="15"/>
          <w:rtl w:val="0"/>
        </w:rPr>
        <w:t xml:space="preserve">. PwC; 2018. Accessed March 30, 2026.</w:t>
      </w:r>
      <w:hyperlink r:id="rId6">
        <w:r w:rsidDel="00000000" w:rsidR="00000000" w:rsidRPr="00000000">
          <w:rPr>
            <w:rFonts w:ascii="Avenir" w:cs="Avenir" w:eastAsia="Avenir" w:hAnsi="Avenir"/>
            <w:sz w:val="15"/>
            <w:szCs w:val="15"/>
            <w:rtl w:val="0"/>
          </w:rPr>
          <w:t xml:space="preserve"> </w:t>
        </w:r>
      </w:hyperlink>
      <w:hyperlink r:id="rId7">
        <w:r w:rsidDel="00000000" w:rsidR="00000000" w:rsidRPr="00000000">
          <w:rPr>
            <w:rFonts w:ascii="Avenir" w:cs="Avenir" w:eastAsia="Avenir" w:hAnsi="Avenir"/>
            <w:color w:val="1155cc"/>
            <w:sz w:val="15"/>
            <w:szCs w:val="15"/>
            <w:u w:val="single"/>
            <w:rtl w:val="0"/>
          </w:rPr>
          <w:t xml:space="preserve">https://www.pwc.com/hu/hu/kiadvanyok/assets/pdf/impact_of_automation_on_jobs.pdf</w:t>
        </w:r>
      </w:hyperlink>
      <w:r w:rsidDel="00000000" w:rsidR="00000000" w:rsidRPr="00000000">
        <w:rPr>
          <w:rtl w:val="0"/>
        </w:rPr>
      </w:r>
    </w:p>
    <w:p w:rsidR="00000000" w:rsidDel="00000000" w:rsidP="00000000" w:rsidRDefault="00000000" w:rsidRPr="00000000" w14:paraId="00000020">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360"/>
        <w:jc w:val="both"/>
        <w:rPr>
          <w:rFonts w:ascii="Avenir" w:cs="Avenir" w:eastAsia="Avenir" w:hAnsi="Avenir"/>
          <w:sz w:val="15"/>
          <w:szCs w:val="15"/>
        </w:rPr>
      </w:pPr>
      <w:r w:rsidDel="00000000" w:rsidR="00000000" w:rsidRPr="00000000">
        <w:rPr>
          <w:rFonts w:ascii="Avenir" w:cs="Avenir" w:eastAsia="Avenir" w:hAnsi="Avenir"/>
          <w:sz w:val="15"/>
          <w:szCs w:val="15"/>
          <w:highlight w:val="white"/>
          <w:rtl w:val="0"/>
        </w:rPr>
        <w:t xml:space="preserve">Romero PD, Whittaker JM. A Brief Examination of Union Membership Data. Congressional Research Service; June 16, 2023. Report No. R47596. Accessed March 30, 2026. </w:t>
      </w:r>
      <w:hyperlink r:id="rId8">
        <w:r w:rsidDel="00000000" w:rsidR="00000000" w:rsidRPr="00000000">
          <w:rPr>
            <w:rFonts w:ascii="Avenir" w:cs="Avenir" w:eastAsia="Avenir" w:hAnsi="Avenir"/>
            <w:color w:val="1155cc"/>
            <w:sz w:val="15"/>
            <w:szCs w:val="15"/>
            <w:highlight w:val="white"/>
            <w:u w:val="single"/>
            <w:rtl w:val="0"/>
          </w:rPr>
          <w:t xml:space="preserve">https://www.congress.gov/crs-product/R47596</w:t>
        </w:r>
      </w:hyperlink>
      <w:r w:rsidDel="00000000" w:rsidR="00000000" w:rsidRPr="00000000">
        <w:rPr>
          <w:rtl w:val="0"/>
        </w:rPr>
      </w:r>
    </w:p>
    <w:p w:rsidR="00000000" w:rsidDel="00000000" w:rsidP="00000000" w:rsidRDefault="00000000" w:rsidRPr="00000000" w14:paraId="00000021">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360"/>
        <w:jc w:val="both"/>
        <w:rPr>
          <w:rFonts w:ascii="Avenir" w:cs="Avenir" w:eastAsia="Avenir" w:hAnsi="Avenir"/>
          <w:sz w:val="15"/>
          <w:szCs w:val="15"/>
        </w:rPr>
      </w:pPr>
      <w:r w:rsidDel="00000000" w:rsidR="00000000" w:rsidRPr="00000000">
        <w:rPr>
          <w:rFonts w:ascii="Avenir" w:cs="Avenir" w:eastAsia="Avenir" w:hAnsi="Avenir"/>
          <w:sz w:val="15"/>
          <w:szCs w:val="15"/>
          <w:rtl w:val="0"/>
        </w:rPr>
        <w:t xml:space="preserve">Nissim G, Simon T. The future of labor unions in the age of automation and at the dawn of AI. Technology in Society. 2021;67:101732. doi:10.1016/j.techsoc.2021.101732</w:t>
      </w:r>
    </w:p>
    <w:p w:rsidR="00000000" w:rsidDel="00000000" w:rsidP="00000000" w:rsidRDefault="00000000" w:rsidRPr="00000000" w14:paraId="00000022">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360"/>
        <w:jc w:val="both"/>
        <w:rPr>
          <w:rFonts w:ascii="Avenir" w:cs="Avenir" w:eastAsia="Avenir" w:hAnsi="Avenir"/>
          <w:sz w:val="15"/>
          <w:szCs w:val="15"/>
        </w:rPr>
      </w:pPr>
      <w:r w:rsidDel="00000000" w:rsidR="00000000" w:rsidRPr="00000000">
        <w:rPr>
          <w:rFonts w:ascii="Avenir" w:cs="Avenir" w:eastAsia="Avenir" w:hAnsi="Avenir"/>
          <w:sz w:val="15"/>
          <w:szCs w:val="15"/>
          <w:rtl w:val="0"/>
        </w:rPr>
        <w:t xml:space="preserve">Merola R. Inclusive growth in the era of automation and AI: how can taxation help? Front Artif Intell. 2022;5:867832. doi:10.3389/frai.2022.867832</w:t>
      </w:r>
    </w:p>
    <w:p w:rsidR="00000000" w:rsidDel="00000000" w:rsidP="00000000" w:rsidRDefault="00000000" w:rsidRPr="00000000" w14:paraId="00000023">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360"/>
        <w:jc w:val="both"/>
        <w:rPr>
          <w:rFonts w:ascii="Avenir" w:cs="Avenir" w:eastAsia="Avenir" w:hAnsi="Avenir"/>
          <w:sz w:val="15"/>
          <w:szCs w:val="15"/>
        </w:rPr>
      </w:pPr>
      <w:r w:rsidDel="00000000" w:rsidR="00000000" w:rsidRPr="00000000">
        <w:rPr>
          <w:rFonts w:ascii="Avenir" w:cs="Avenir" w:eastAsia="Avenir" w:hAnsi="Avenir"/>
          <w:sz w:val="15"/>
          <w:szCs w:val="15"/>
          <w:rtl w:val="0"/>
        </w:rPr>
        <w:t xml:space="preserve">Frank MR, Autor D, Bessen JE, et al. Toward understanding the impact of artificial intelligence on labor. Proc Natl Acad Sci USA. 2019;116(14):6531-6539. doi:10.1073/pnas.1900949116</w:t>
      </w:r>
    </w:p>
    <w:p w:rsidR="00000000" w:rsidDel="00000000" w:rsidP="00000000" w:rsidRDefault="00000000" w:rsidRPr="00000000" w14:paraId="00000024">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360"/>
        <w:jc w:val="both"/>
        <w:rPr>
          <w:rFonts w:ascii="Avenir" w:cs="Avenir" w:eastAsia="Avenir" w:hAnsi="Avenir"/>
          <w:sz w:val="15"/>
          <w:szCs w:val="15"/>
        </w:rPr>
      </w:pPr>
      <w:r w:rsidDel="00000000" w:rsidR="00000000" w:rsidRPr="00000000">
        <w:rPr>
          <w:rFonts w:ascii="Avenir" w:cs="Avenir" w:eastAsia="Avenir" w:hAnsi="Avenir"/>
          <w:sz w:val="15"/>
          <w:szCs w:val="15"/>
          <w:rtl w:val="0"/>
        </w:rPr>
        <w:t xml:space="preserve">Tschang FT, Almirall E. Artificial intelligence as augmenting automation: implications for employment. Acad Manag Perspect. 2021;35(4):642-659. doi:10.5465/amp.2019.0062</w:t>
      </w:r>
    </w:p>
    <w:p w:rsidR="00000000" w:rsidDel="00000000" w:rsidP="00000000" w:rsidRDefault="00000000" w:rsidRPr="00000000" w14:paraId="00000025">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360"/>
        <w:jc w:val="both"/>
        <w:rPr>
          <w:rFonts w:ascii="Avenir" w:cs="Avenir" w:eastAsia="Avenir" w:hAnsi="Avenir"/>
          <w:sz w:val="15"/>
          <w:szCs w:val="15"/>
        </w:rPr>
      </w:pPr>
      <w:r w:rsidDel="00000000" w:rsidR="00000000" w:rsidRPr="00000000">
        <w:rPr>
          <w:rFonts w:ascii="Avenir" w:cs="Avenir" w:eastAsia="Avenir" w:hAnsi="Avenir"/>
          <w:sz w:val="15"/>
          <w:szCs w:val="15"/>
          <w:rtl w:val="0"/>
        </w:rPr>
        <w:t xml:space="preserve">Dauth W, Findeisen S, Südekum J, Wößner N. The adjustment of labor markets to robots. J Eur Econ Assoc. 2021;19(6):3104-3153. doi:10.1093/jeea/jvab012</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18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18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180"/>
      </w:pPr>
      <w:rPr>
        <w:u w:val="none"/>
      </w:rPr>
    </w:lvl>
  </w:abstractNum>
  <w:abstractNum w:abstractNumId="4">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pwc.com/hu/hu/kiadvanyok/assets/pdf/impact_of_automation_on_jobs.pdf" TargetMode="External"/><Relationship Id="rId7" Type="http://schemas.openxmlformats.org/officeDocument/2006/relationships/hyperlink" Target="https://www.pwc.com/hu/hu/kiadvanyok/assets/pdf/impact_of_automation_on_jobs.pdf" TargetMode="External"/><Relationship Id="rId8" Type="http://schemas.openxmlformats.org/officeDocument/2006/relationships/hyperlink" Target="https://www.congress.gov/crs-product/R4759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