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b w:val="1"/>
          <w:bCs w:val="1"/>
          <w:color w:val="5b9bd5"/>
          <w:sz w:val="24"/>
          <w:szCs w:val="24"/>
          <w:rtl w:val="0"/>
        </w:rPr>
        <w:t xml:space="preserve">TOWARD</w:t>
      </w:r>
      <w:r w:rsidDel="00000000" w:rsidR="00000000" w:rsidRPr="00000000">
        <w:rPr>
          <w:rFonts w:ascii="Avenir" w:cs="Avenir" w:eastAsia="Avenir" w:hAnsi="Avenir"/>
          <w:b w:val="1"/>
          <w:bCs w:val="1"/>
          <w:color w:val="5b9bd5"/>
          <w:sz w:val="24"/>
          <w:szCs w:val="24"/>
          <w:rtl w:val="0"/>
        </w:rPr>
        <w:t xml:space="preserve"> GEOPOLITICAL DATA BLOCS</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Diverging Data Governance Regimes Will Fragment Industrial AI Supply Chains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br w:type="textWrapping"/>
        <w:t xml:space="preserve">Amid growing policy discourse about data sovereignty</w:t>
      </w:r>
      <w:r w:rsidDel="00000000" w:rsidR="00000000" w:rsidRPr="00000000">
        <w:rPr>
          <w:rFonts w:ascii="Avenir" w:cs="Avenir" w:eastAsia="Avenir" w:hAnsi="Avenir"/>
          <w:color w:val="3c3f42"/>
          <w:sz w:val="15"/>
          <w:szCs w:val="15"/>
          <w:rtl w:val="0"/>
        </w:rPr>
        <w:t xml:space="preserve">, industrial AI </w:t>
      </w:r>
      <w:r w:rsidDel="00000000" w:rsidR="00000000" w:rsidRPr="00000000">
        <w:rPr>
          <w:rFonts w:ascii="Avenir" w:cs="Avenir" w:eastAsia="Avenir" w:hAnsi="Avenir"/>
          <w:color w:val="3c3f42"/>
          <w:sz w:val="15"/>
          <w:szCs w:val="15"/>
          <w:rtl w:val="0"/>
        </w:rPr>
        <w:t xml:space="preserve">is increasingly shaped by the legal geography of data [1,2].</w:t>
      </w:r>
      <w:r w:rsidDel="00000000" w:rsidR="00000000" w:rsidRPr="00000000">
        <w:rPr>
          <w:rFonts w:ascii="Avenir" w:cs="Avenir" w:eastAsia="Avenir" w:hAnsi="Avenir"/>
          <w:color w:val="3c3f42"/>
          <w:sz w:val="15"/>
          <w:szCs w:val="15"/>
          <w:rtl w:val="0"/>
        </w:rPr>
        <w:t xml:space="preserve"> Digital neo-protectionism is predicted to become a defining trade conflict of the 21st century [1] and the EU has positioned data governance as an instrument of strategic autonomy, seeking to reduce dependency on external actors through independent data spaces [2].</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Yet the implementation reality remains heterogeneous. Globally, where third countries adopt EU rules nominally but implement them divergently, the resulting patchwork is harder to navigate for industrial AI developers than transparent differences would be [3,4]. Within the EU itself, contradictory interpretations across member states create legal uncertainty that delays AI deployment and disadvantages smaller firms [14]. Existing trade frameworks introduce a further fragmentation risk: should regulators classify pretrained models as data transfers, cross-border deployment of industrial AI could be curtailed by localization rules that </w:t>
      </w:r>
      <w:r w:rsidDel="00000000" w:rsidR="00000000" w:rsidRPr="00000000">
        <w:rPr>
          <w:rFonts w:ascii="Avenir" w:cs="Avenir" w:eastAsia="Avenir" w:hAnsi="Avenir"/>
          <w:color w:val="3c3f42"/>
          <w:sz w:val="15"/>
          <w:szCs w:val="15"/>
          <w:rtl w:val="0"/>
        </w:rPr>
        <w:t xml:space="preserve">existing policies were not designed to govern, </w:t>
      </w:r>
      <w:r w:rsidDel="00000000" w:rsidR="00000000" w:rsidRPr="00000000">
        <w:rPr>
          <w:rFonts w:ascii="Avenir" w:cs="Avenir" w:eastAsia="Avenir" w:hAnsi="Avenir"/>
          <w:color w:val="3c3f42"/>
          <w:sz w:val="15"/>
          <w:szCs w:val="15"/>
          <w:rtl w:val="0"/>
        </w:rPr>
        <w:t xml:space="preserve">accelerating fragmentation into incompatible data blocs [5,6]</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highlight w:val="yellow"/>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number of data localization measures worldwide more than doubled between 2017 and 2021, rising from 67 to 144 across 62 countries, with the most restrictive regimes in China, India, Russia, and Turkey [17].</w:t>
      </w:r>
    </w:p>
    <w:p w:rsidR="00000000" w:rsidDel="00000000" w:rsidP="00000000" w:rsidRDefault="00000000" w:rsidRPr="00000000" w14:paraId="0000000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434343"/>
          <w:sz w:val="15"/>
          <w:szCs w:val="15"/>
        </w:rPr>
      </w:pPr>
      <w:r w:rsidDel="00000000" w:rsidR="00000000" w:rsidRPr="00000000">
        <w:rPr>
          <w:rFonts w:ascii="Avenir" w:cs="Avenir" w:eastAsia="Avenir" w:hAnsi="Avenir"/>
          <w:color w:val="434343"/>
          <w:sz w:val="15"/>
          <w:szCs w:val="15"/>
          <w:rtl w:val="0"/>
        </w:rPr>
        <w:t xml:space="preserve">In 2024, the EU ran a digital services trade deficit of approximately 139B EUR with the United States alone, concentrated in categories like cloud infrastructure, software, and platform licensing [19,23].</w:t>
      </w:r>
    </w:p>
    <w:p w:rsidR="00000000" w:rsidDel="00000000" w:rsidP="00000000" w:rsidRDefault="00000000" w:rsidRPr="00000000" w14:paraId="00000009">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 xml:space="preserve">In 2025, liberalization occurred across insurance, financial services, and logistics, while restrictions on cross-border data flows continued to increase, particularly in Europe and the Asia-Pacific region [18].</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a3a3a"/>
          <w:sz w:val="15"/>
          <w:szCs w:val="15"/>
          <w:vertAlign w:val="superscript"/>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434343"/>
          <w:sz w:val="15"/>
          <w:szCs w:val="15"/>
          <w:rtl w:val="0"/>
        </w:rPr>
        <w:t xml:space="preserve">Geopolitical tensions and supply chain disruptions have reframed data control as a matter of strategic security, accelerating the adoption of localization measures as instruments of digital industrial policy [1,18].</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434343"/>
          <w:sz w:val="15"/>
          <w:szCs w:val="15"/>
          <w:rtl w:val="0"/>
        </w:rPr>
        <w:t xml:space="preserve">The EU Data Act mandates sharing of raw IoT data between manufacturers and users [12], but excludes inferred and derived data from these obligations [7], creating a legal vacuum that companies may fill through technical enclosure [8].</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EU's GDPR and India's DPDP Act govern personal data but misalign on lawful processing bases, consent models, and automated decision-making rights, complicating compliance for cross-border industrial AI systems [20].</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rPr>
          <w:rFonts w:ascii="Avenir" w:cs="Avenir" w:eastAsia="Avenir" w:hAnsi="Avenir"/>
          <w:color w:val="3a3a3a"/>
          <w:sz w:val="15"/>
          <w:szCs w:val="15"/>
          <w:vertAlign w:val="superscript"/>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 2025 OECD-WTO analysis estimates that full fragmentation of cross-border data flows would reduce global GDP by 4.5% and exports by 8.5% [15].</w:t>
      </w:r>
    </w:p>
    <w:p w:rsidR="00000000" w:rsidDel="00000000" w:rsidP="00000000" w:rsidRDefault="00000000" w:rsidRPr="00000000" w14:paraId="0000001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Over 80% of Europe's digital services and products are imported, and 92% of the EU's data is stored on US-based cloud servers [16].</w:t>
      </w:r>
    </w:p>
    <w:p w:rsidR="00000000" w:rsidDel="00000000" w:rsidP="00000000" w:rsidRDefault="00000000" w:rsidRPr="00000000" w14:paraId="0000001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Despite data protection measures like federated learning, vulnerabilities such as gradient inversion attacks can lead to reconstruction of sensitive or proprietary training data, meaning industrial data can effectively leak across borders without any raw data being explicitly transferred [21]. </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6">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Regulatory fragmentation directly constrains the diversity of data, which industrial AI models require [22]. Foundation models for manufacturing, energy, and logistics depend on training data from multiple jurisdictions, but overlapping national regulations and conflicting export rules restrict cross-border access [2,3,11]. Where models are treated as compressed representations of their training data, localization mandates may extend not only to sensor inputs but to the model itself [5], while inferred and derived data remain outside existing access frameworks [7]. The resulting barriers concentrate advantage with platform operators that can absorb compliance costs across jurisdictions, while smaller industrial firms face disproportionate friction in training and deploying AI across borders [1,8].</w:t>
      </w:r>
    </w:p>
    <w:p w:rsidR="00000000" w:rsidDel="00000000" w:rsidP="00000000" w:rsidRDefault="00000000" w:rsidRPr="00000000" w14:paraId="00000017">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Panchenko V, Reznikova N, Bulatova O. Regulatory competition in the digital economy: new forms of protectionism. Int Econ Policy. 2020;(32-33):49-79. doi:10.33111/iep.2020.32_33.03_eng</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Calderaro A, Blumfelde S. Artificial intelligence and EU security: the false promise of digital sovereignty. Eur Secur. 2022;31(3):415-434. doi:10.1080/09662839.2022.2101885</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Almada M, Radu A. The Brussels Side-Effect: How the AI Act Can Reduce the Global Reach of EU Policy. Ger Law J. 2024;25(4):646-663. doi:10.1017/glj.2023.108</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Hoch S, Mügge D. EU influence in global AI governance and its limits. RegulAite Working Paper 01/2025. University of Amsterdam; January 2025. Accessed March 31, 2026. https://regulaite.eu/images/pdf/HochMugge2025.pdf</w:t>
      </w:r>
    </w:p>
    <w:p w:rsidR="00000000" w:rsidDel="00000000" w:rsidP="00000000" w:rsidRDefault="00000000" w:rsidRPr="00000000" w14:paraId="0000001D">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Franceschelli G, Cevenini C, Musolesi M. Training Foundation Models as Data Compression: On Information, Model Weights and Copyright Law. arXiv. Preprint posted online March 12, 2025:arXiv:2407.13493. doi:10.48550/arXiv.2407.13493</w:t>
      </w:r>
    </w:p>
    <w:p w:rsidR="00000000" w:rsidDel="00000000" w:rsidP="00000000" w:rsidRDefault="00000000" w:rsidRPr="00000000" w14:paraId="0000001E">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Sekine T. EU's AI regulation and international economic law: the complex impact of the EU AI Act on global economic governance. SSU Working Paper. University of Tokyo; October 8, 2024. doi:10.2139/ssrn.4997043</w:t>
      </w:r>
      <w:r w:rsidDel="00000000" w:rsidR="00000000" w:rsidRPr="00000000">
        <w:rPr>
          <w:rtl w:val="0"/>
        </w:rPr>
      </w:r>
    </w:p>
    <w:p w:rsidR="00000000" w:rsidDel="00000000" w:rsidP="00000000" w:rsidRDefault="00000000" w:rsidRPr="00000000" w14:paraId="0000001F">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Leistner M, Antoine L. IP Law and Policy for the Data Economy in the EU. Economics. 2023;17(1):20220043. doi:10.1515/econ-2022-0043</w:t>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Eckardt M, Kerber W. Property rights theory, bundles of rights on IoT data, and the EU Data Act. Eur J Law Econ. 2024;57(1-2):113-143. doi:10.1007/s10657-023-09791-8</w:t>
      </w:r>
    </w:p>
    <w:p w:rsidR="00000000" w:rsidDel="00000000" w:rsidP="00000000" w:rsidRDefault="00000000" w:rsidRPr="00000000" w14:paraId="00000021">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Daliparthi VSSA, Tutschku K, Kebande VR, Momen N. Digital Sovereignty for Collaborative AI Engineering: A Survey. IEEE Access. 2025;13:216438-216465. doi:10.1109/ACCESS.2025.3647085</w:t>
      </w:r>
    </w:p>
    <w:p w:rsidR="00000000" w:rsidDel="00000000" w:rsidP="00000000" w:rsidRDefault="00000000" w:rsidRPr="00000000" w14:paraId="00000022">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Nguyen DC, Ding M, Pathirana PN, Seneviratne A, L</w:t>
      </w:r>
      <w:r w:rsidDel="00000000" w:rsidR="00000000" w:rsidRPr="00000000">
        <w:rPr>
          <w:rFonts w:ascii="Avenir" w:cs="Avenir" w:eastAsia="Avenir" w:hAnsi="Avenir"/>
          <w:color w:val="3c3f42"/>
          <w:sz w:val="15"/>
          <w:szCs w:val="15"/>
          <w:rtl w:val="0"/>
        </w:rPr>
        <w:t xml:space="preserve">i J, Vincent Poor H. Federated Learning for Internet of Things: A Comprehensive Survey. IEEE Commun Surv Tutor. 2021;23(3):1622-1658. doi:10.1109/COMST.2021.3075439</w:t>
      </w:r>
    </w:p>
    <w:p w:rsidR="00000000" w:rsidDel="00000000" w:rsidP="00000000" w:rsidRDefault="00000000" w:rsidRPr="00000000" w14:paraId="00000023">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Ren L, Wang H, Dong J, et al. Industrial Foundation Model. IEEE Trans Cybern. 2025;55(5):2286-2301. doi:10.1109/TCYB.2025.3527632</w:t>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Regulation (EU) 2023/2854 of the European Parliament and of the Council of 13 December 2023 on harmonised rules on fair access to and use of data (Data Act). Off J Eur Union. 2023;L2854:1-71. Accessed March 30, 2026. </w:t>
      </w:r>
      <w:hyperlink r:id="rId6">
        <w:r w:rsidDel="00000000" w:rsidR="00000000" w:rsidRPr="00000000">
          <w:rPr>
            <w:rFonts w:ascii="Avenir" w:cs="Avenir" w:eastAsia="Avenir" w:hAnsi="Avenir"/>
            <w:color w:val="1155cc"/>
            <w:sz w:val="15"/>
            <w:szCs w:val="15"/>
            <w:u w:val="single"/>
            <w:rtl w:val="0"/>
          </w:rPr>
          <w:t xml:space="preserve">http://data.europa.eu/eli/reg/2023/2854/oj</w:t>
        </w:r>
      </w:hyperlink>
      <w:r w:rsidDel="00000000" w:rsidR="00000000" w:rsidRPr="00000000">
        <w:rPr>
          <w:rtl w:val="0"/>
        </w:rPr>
      </w:r>
    </w:p>
    <w:p w:rsidR="00000000" w:rsidDel="00000000" w:rsidP="00000000" w:rsidRDefault="00000000" w:rsidRPr="00000000" w14:paraId="00000025">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Ferrara E. Fairness and bias in artificial intelligence: a brief survey of sources, impacts, and mitigation strategies. Sci. 2023;6(1):3. doi:10.3390/sci6010003.</w:t>
      </w:r>
    </w:p>
    <w:p w:rsidR="00000000" w:rsidDel="00000000" w:rsidP="00000000" w:rsidRDefault="00000000" w:rsidRPr="00000000" w14:paraId="00000026">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Arnal J. AI at Risk in the EU: It's Not Regulation, It's Implementation. </w:t>
      </w:r>
      <w:r w:rsidDel="00000000" w:rsidR="00000000" w:rsidRPr="00000000">
        <w:rPr>
          <w:rFonts w:ascii="Avenir" w:cs="Avenir" w:eastAsia="Avenir" w:hAnsi="Avenir"/>
          <w:i w:val="1"/>
          <w:iCs w:val="1"/>
          <w:color w:val="3c3f42"/>
          <w:sz w:val="15"/>
          <w:szCs w:val="15"/>
          <w:rtl w:val="0"/>
        </w:rPr>
        <w:t xml:space="preserve">Eur J Risk Regul</w:t>
      </w:r>
      <w:r w:rsidDel="00000000" w:rsidR="00000000" w:rsidRPr="00000000">
        <w:rPr>
          <w:rFonts w:ascii="Avenir" w:cs="Avenir" w:eastAsia="Avenir" w:hAnsi="Avenir"/>
          <w:color w:val="3c3f42"/>
          <w:sz w:val="15"/>
          <w:szCs w:val="15"/>
          <w:rtl w:val="0"/>
        </w:rPr>
        <w:t xml:space="preserve">. 2025;16:1168-1177. doi:10.1017/err.2025.19</w:t>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tabs>
          <w:tab w:val="left" w:leader="none" w:pos="380"/>
        </w:tabs>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Organisation for Economic Co-operation and Development; World Trade Organization. Economic Implications of Data Regulation: Balancing Openness and Trust. OECD Publishing; February 2025. doi:10.1787/aa285504-en</w:t>
      </w:r>
    </w:p>
    <w:p w:rsidR="00000000" w:rsidDel="00000000" w:rsidP="00000000" w:rsidRDefault="00000000" w:rsidRPr="00000000" w14:paraId="0000002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Commission.</w:t>
      </w:r>
      <w:r w:rsidDel="00000000" w:rsidR="00000000" w:rsidRPr="00000000">
        <w:rPr>
          <w:rFonts w:ascii="Avenir" w:cs="Avenir" w:eastAsia="Avenir" w:hAnsi="Avenir"/>
          <w:color w:val="3c3f42"/>
          <w:sz w:val="15"/>
          <w:szCs w:val="15"/>
          <w:rtl w:val="0"/>
        </w:rPr>
        <w:t xml:space="preserve"> A European Strategy for Data. COM(2020) 66 final. Published February 19, 2020. Accessed [date]. </w:t>
      </w:r>
      <w:hyperlink r:id="rId7">
        <w:r w:rsidDel="00000000" w:rsidR="00000000" w:rsidRPr="00000000">
          <w:rPr>
            <w:rFonts w:ascii="Avenir" w:cs="Avenir" w:eastAsia="Avenir" w:hAnsi="Avenir"/>
            <w:color w:val="3c3f42"/>
            <w:sz w:val="15"/>
            <w:szCs w:val="15"/>
            <w:rtl w:val="0"/>
          </w:rPr>
          <w:t xml:space="preserve">https://eur-lex.europa.eu/legal-content/EN/TXT/?uri=CELEX:52020DC0066</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Cory N, Dascoli L. </w:t>
      </w:r>
      <w:r w:rsidDel="00000000" w:rsidR="00000000" w:rsidRPr="00000000">
        <w:rPr>
          <w:rFonts w:ascii="Avenir" w:cs="Avenir" w:eastAsia="Avenir" w:hAnsi="Avenir"/>
          <w:color w:val="3c3f42"/>
          <w:sz w:val="15"/>
          <w:szCs w:val="15"/>
          <w:rtl w:val="0"/>
        </w:rPr>
        <w:t xml:space="preserve">How barriers to cross-border data flows are spreading globally, what they cost, and how to address them</w:t>
      </w:r>
      <w:r w:rsidDel="00000000" w:rsidR="00000000" w:rsidRPr="00000000">
        <w:rPr>
          <w:rFonts w:ascii="Avenir" w:cs="Avenir" w:eastAsia="Avenir" w:hAnsi="Avenir"/>
          <w:color w:val="3c3f42"/>
          <w:sz w:val="15"/>
          <w:szCs w:val="15"/>
          <w:rtl w:val="0"/>
        </w:rPr>
        <w:t xml:space="preserve">. Information Technology and Innovation Foundation; July 19, 2021. Accessed April 1, 2026. https://www.itif.org/publications/2021/07/19/how-barriers-cross-border-data-flows-are-spreading-globally-what-they-cost/ </w:t>
      </w:r>
    </w:p>
    <w:p w:rsidR="00000000" w:rsidDel="00000000" w:rsidP="00000000" w:rsidRDefault="00000000" w:rsidRPr="00000000" w14:paraId="0000002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rPr>
      </w:pPr>
      <w:r w:rsidDel="00000000" w:rsidR="00000000" w:rsidRPr="00000000">
        <w:rPr>
          <w:rFonts w:ascii="Avenir" w:cs="Avenir" w:eastAsia="Avenir" w:hAnsi="Avenir"/>
          <w:color w:val="434343"/>
          <w:sz w:val="15"/>
          <w:szCs w:val="15"/>
          <w:rtl w:val="0"/>
        </w:rPr>
        <w:t xml:space="preserve">Organisation for Economic Co-operation and Development. OECD Services Trade Restrictiveness Index 2026: Policy Trends. OECD Publishing; 2026. doi:10.1787/db87d74e-en</w:t>
      </w:r>
    </w:p>
    <w:p w:rsidR="00000000" w:rsidDel="00000000" w:rsidP="00000000" w:rsidRDefault="00000000" w:rsidRPr="00000000" w14:paraId="0000002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rPr>
      </w:pPr>
      <w:r w:rsidDel="00000000" w:rsidR="00000000" w:rsidRPr="00000000">
        <w:rPr>
          <w:rFonts w:ascii="Avenir" w:cs="Avenir" w:eastAsia="Avenir" w:hAnsi="Avenir"/>
          <w:color w:val="434343"/>
          <w:sz w:val="15"/>
          <w:szCs w:val="15"/>
          <w:rtl w:val="0"/>
        </w:rPr>
        <w:t xml:space="preserve">Eurostat. EU services exports reach record high in 2024. Eurostat News. Published December 17, 2025. Accessed </w:t>
      </w:r>
      <w:r w:rsidDel="00000000" w:rsidR="00000000" w:rsidRPr="00000000">
        <w:rPr>
          <w:rFonts w:ascii="Avenir" w:cs="Avenir" w:eastAsia="Avenir" w:hAnsi="Avenir"/>
          <w:color w:val="3c3f42"/>
          <w:sz w:val="15"/>
          <w:szCs w:val="15"/>
          <w:rtl w:val="0"/>
        </w:rPr>
        <w:t xml:space="preserve">April 1, 2026</w:t>
      </w:r>
      <w:r w:rsidDel="00000000" w:rsidR="00000000" w:rsidRPr="00000000">
        <w:rPr>
          <w:rFonts w:ascii="Avenir" w:cs="Avenir" w:eastAsia="Avenir" w:hAnsi="Avenir"/>
          <w:color w:val="434343"/>
          <w:sz w:val="15"/>
          <w:szCs w:val="15"/>
          <w:rtl w:val="0"/>
        </w:rPr>
        <w:t xml:space="preserve">. </w:t>
      </w:r>
      <w:hyperlink r:id="rId8">
        <w:r w:rsidDel="00000000" w:rsidR="00000000" w:rsidRPr="00000000">
          <w:rPr>
            <w:rFonts w:ascii="Avenir" w:cs="Avenir" w:eastAsia="Avenir" w:hAnsi="Avenir"/>
            <w:color w:val="434343"/>
            <w:sz w:val="15"/>
            <w:szCs w:val="15"/>
            <w:rtl w:val="0"/>
          </w:rPr>
          <w:t xml:space="preserve">https://ec.europa.eu/eurostat/web/products-eurostat-news/w/ddn-20251217-1</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 xml:space="preserve">International Network of Privacy Law Professionals. How does India’s new privacy law compare to GDPR? Published January 24, 2024. Accessed April 01, 2026. </w:t>
      </w:r>
      <w:hyperlink r:id="rId9">
        <w:r w:rsidDel="00000000" w:rsidR="00000000" w:rsidRPr="00000000">
          <w:rPr>
            <w:rFonts w:ascii="Avenir" w:cs="Avenir" w:eastAsia="Avenir" w:hAnsi="Avenir"/>
            <w:color w:val="1155cc"/>
            <w:sz w:val="15"/>
            <w:szCs w:val="15"/>
            <w:u w:val="single"/>
            <w:rtl w:val="0"/>
          </w:rPr>
          <w:t xml:space="preserve">https://inplp.com/latest-news/article/how-does-indias-new-privacy-law-compare-to-gdpr/</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 xml:space="preserve">Wainakh A, Zimmer E, Subedi S, et al. Federated learning attacks revisited: a critical discussion of gaps, assumptions, and evaluation setups. Sensors. 2022;23(1):31. doi:10.3390/s23010031.</w:t>
      </w:r>
    </w:p>
    <w:p w:rsidR="00000000" w:rsidDel="00000000" w:rsidP="00000000" w:rsidRDefault="00000000" w:rsidRPr="00000000" w14:paraId="0000002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 xml:space="preserve">Chakravorti B, Filipovic A, Bhaskar S. </w:t>
      </w:r>
      <w:r w:rsidDel="00000000" w:rsidR="00000000" w:rsidRPr="00000000">
        <w:rPr>
          <w:rFonts w:ascii="Avenir" w:cs="Avenir" w:eastAsia="Avenir" w:hAnsi="Avenir"/>
          <w:i w:val="1"/>
          <w:iCs w:val="1"/>
          <w:color w:val="434343"/>
          <w:sz w:val="15"/>
          <w:szCs w:val="15"/>
          <w:rtl w:val="0"/>
        </w:rPr>
        <w:t xml:space="preserve">Regulating Cross-Border Data Flows: Harnessing Safe Data Sharing for Global and Inclusive Artificial Intelligence.</w:t>
      </w:r>
      <w:r w:rsidDel="00000000" w:rsidR="00000000" w:rsidRPr="00000000">
        <w:rPr>
          <w:rFonts w:ascii="Avenir" w:cs="Avenir" w:eastAsia="Avenir" w:hAnsi="Avenir"/>
          <w:color w:val="434343"/>
          <w:sz w:val="15"/>
          <w:szCs w:val="15"/>
          <w:rtl w:val="0"/>
        </w:rPr>
        <w:t xml:space="preserve"> United Nations University; 2023. Accessed April 1, 2026. </w:t>
      </w:r>
      <w:hyperlink r:id="rId10">
        <w:r w:rsidDel="00000000" w:rsidR="00000000" w:rsidRPr="00000000">
          <w:rPr>
            <w:rFonts w:ascii="Avenir" w:cs="Avenir" w:eastAsia="Avenir" w:hAnsi="Avenir"/>
            <w:color w:val="1155cc"/>
            <w:sz w:val="15"/>
            <w:szCs w:val="15"/>
            <w:u w:val="single"/>
            <w:rtl w:val="0"/>
          </w:rPr>
          <w:t xml:space="preserve">https://unu.edu/publication/regulating-cross-border-data-flows-harnessing-safe-data-sharing-global-and-inclusive</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380"/>
        </w:tabs>
        <w:spacing w:after="0" w:before="0" w:line="240" w:lineRule="auto"/>
        <w:ind w:left="360" w:right="0" w:hanging="360"/>
        <w:jc w:val="both"/>
        <w:rPr>
          <w:rFonts w:ascii="Avenir" w:cs="Avenir" w:eastAsia="Avenir" w:hAnsi="Avenir"/>
          <w:color w:val="434343"/>
          <w:sz w:val="15"/>
          <w:szCs w:val="15"/>
          <w:u w:val="none"/>
        </w:rPr>
      </w:pPr>
      <w:r w:rsidDel="00000000" w:rsidR="00000000" w:rsidRPr="00000000">
        <w:rPr>
          <w:rFonts w:ascii="Avenir" w:cs="Avenir" w:eastAsia="Avenir" w:hAnsi="Avenir"/>
          <w:color w:val="434343"/>
          <w:sz w:val="15"/>
          <w:szCs w:val="15"/>
          <w:rtl w:val="0"/>
        </w:rPr>
        <w:t xml:space="preserve">Rutte M, Guinea O. Openness as Strength: The Win-Win in EU-US Digital Services Trade. European Centre for International Political Economy (ECIPE); March 2024. Accessed April 1, 2026. </w:t>
      </w:r>
      <w:hyperlink r:id="rId11">
        <w:r w:rsidDel="00000000" w:rsidR="00000000" w:rsidRPr="00000000">
          <w:rPr>
            <w:rFonts w:ascii="Avenir" w:cs="Avenir" w:eastAsia="Avenir" w:hAnsi="Avenir"/>
            <w:color w:val="1155cc"/>
            <w:sz w:val="15"/>
            <w:szCs w:val="15"/>
            <w:u w:val="single"/>
            <w:rtl w:val="0"/>
          </w:rPr>
          <w:t xml:space="preserve">https://ecipe.org/publications/openness-strength-eu-us-digital-services-trade/</w:t>
        </w:r>
      </w:hyperlink>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ecipe.org/publications/openness-strength-eu-us-digital-services-trade/" TargetMode="External"/><Relationship Id="rId10" Type="http://schemas.openxmlformats.org/officeDocument/2006/relationships/hyperlink" Target="https://unu.edu/publication/regulating-cross-border-data-flows-harnessing-safe-data-sharing-global-and-inclusive" TargetMode="External"/><Relationship Id="rId9" Type="http://schemas.openxmlformats.org/officeDocument/2006/relationships/hyperlink" Target="https://inplp.com/latest-news/article/how-does-indias-new-privacy-law-compare-to-gdpr/" TargetMode="External"/><Relationship Id="rId5" Type="http://schemas.openxmlformats.org/officeDocument/2006/relationships/styles" Target="styles.xml"/><Relationship Id="rId6" Type="http://schemas.openxmlformats.org/officeDocument/2006/relationships/hyperlink" Target="http://data.europa.eu/eli/reg/2023/2854/oj" TargetMode="External"/><Relationship Id="rId7" Type="http://schemas.openxmlformats.org/officeDocument/2006/relationships/hyperlink" Target="https://eur-lex.europa.eu/legal-content/EN/TXT/?uri=CELEX:52020DC0066" TargetMode="External"/><Relationship Id="rId8" Type="http://schemas.openxmlformats.org/officeDocument/2006/relationships/hyperlink" Target="https://ec.europa.eu/eurostat/web/products-eurostat-news/w/ddn-202512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