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b w:val="1"/>
          <w:bCs w:val="1"/>
          <w:color w:val="5b9bd5"/>
          <w:sz w:val="24"/>
          <w:szCs w:val="24"/>
          <w:rtl w:val="0"/>
        </w:rPr>
        <w:t xml:space="preserve">Establishing the AI Compliance Playbook</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How Standard-Setting Today Will Define Industrial AI Compliance for Decades</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EU AI Act classifies industrial AI systems covering robotics, autonomous machinery, and predictive maintenance as high-risk, requiring conformity assessments, human oversight, and auditable documentation [1]. Under the revised Product Liability Directive, AI software is now explicitly a product subject to strict liability, shifting the legal burden to the provider [2]. Yet regulators demand transparency that developers resist to protect commercial interests, creating a paradox that no current standard resolves [3,4]. No sector-specific rules define what safe deployment of autonomous industrial systems requires, and the harmonized standards needed for a clear compliance pathway are delayed until late 2026 at the earliest [5]. Legislators delegate technical specifications to private standardization bodies where large technology firms already hold disproportionate influence [5,6]. As industrial AI scales over the next 10-20 years, these voluntary standards will solidify into binding legal infrastructure, meaning the firms shaping specifications now are pre-defining liability for AI-caused harm long before legislators catch up [6,7].</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p>
    <w:p w:rsidR="00000000" w:rsidDel="00000000" w:rsidP="00000000" w:rsidRDefault="00000000" w:rsidRPr="00000000" w14:paraId="0000000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a3a3a"/>
          <w:sz w:val="15"/>
          <w:szCs w:val="15"/>
          <w:rtl w:val="0"/>
        </w:rPr>
        <w:t xml:space="preserve">The EU AI Act requires conformity assessments for high-risk industrial AI, yet the harmonized standards needed to claim presumption of conformity are delayed until late 2026, leaving providers without a clear compliance pathway [1,5</w:t>
      </w:r>
      <w:r w:rsidDel="00000000" w:rsidR="00000000" w:rsidRPr="00000000">
        <w:rPr>
          <w:rFonts w:ascii="Avenir" w:cs="Avenir" w:eastAsia="Avenir" w:hAnsi="Avenir"/>
          <w:color w:val="3a3a3a"/>
          <w:sz w:val="15"/>
          <w:szCs w:val="15"/>
          <w:rtl w:val="0"/>
        </w:rPr>
        <w:t xml:space="preserve">].</w:t>
      </w:r>
    </w:p>
    <w:p w:rsidR="00000000" w:rsidDel="00000000" w:rsidP="00000000" w:rsidRDefault="00000000" w:rsidRPr="00000000" w14:paraId="00000008">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a3a3a"/>
          <w:sz w:val="15"/>
          <w:szCs w:val="15"/>
          <w:u w:val="none"/>
        </w:rPr>
      </w:pPr>
      <w:r w:rsidDel="00000000" w:rsidR="00000000" w:rsidRPr="00000000">
        <w:rPr>
          <w:rFonts w:ascii="Avenir" w:cs="Avenir" w:eastAsia="Avenir" w:hAnsi="Avenir"/>
          <w:color w:val="3a3a3a"/>
          <w:sz w:val="15"/>
          <w:szCs w:val="15"/>
          <w:rtl w:val="0"/>
        </w:rPr>
        <w:t xml:space="preserve">In late 2025, the prEN 18286 standard entered public inquiry as the first draft AI Act standard, demonstrating that voluntary, industry‑driven standards are already crystallizing today’s compliance baseline </w:t>
      </w:r>
      <w:r w:rsidDel="00000000" w:rsidR="00000000" w:rsidRPr="00000000">
        <w:rPr>
          <w:rFonts w:ascii="Avenir" w:cs="Avenir" w:eastAsia="Avenir" w:hAnsi="Avenir"/>
          <w:color w:val="3c3f42"/>
          <w:sz w:val="15"/>
          <w:szCs w:val="15"/>
          <w:rtl w:val="0"/>
        </w:rPr>
        <w:t xml:space="preserve">[1,5]</w:t>
      </w:r>
      <w:r w:rsidDel="00000000" w:rsidR="00000000" w:rsidRPr="00000000">
        <w:rPr>
          <w:rFonts w:ascii="Avenir" w:cs="Avenir" w:eastAsia="Avenir" w:hAnsi="Avenir"/>
          <w:color w:val="3a3a3a"/>
          <w:sz w:val="15"/>
          <w:szCs w:val="15"/>
          <w:rtl w:val="0"/>
        </w:rPr>
        <w:t xml:space="preserve">. </w:t>
      </w:r>
      <w:r w:rsidDel="00000000" w:rsidR="00000000" w:rsidRPr="00000000">
        <w:rPr>
          <w:rtl w:val="0"/>
        </w:rPr>
      </w:r>
    </w:p>
    <w:p w:rsidR="00000000" w:rsidDel="00000000" w:rsidP="00000000" w:rsidRDefault="00000000" w:rsidRPr="00000000" w14:paraId="00000009">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A Corporate Europe Observatory investigation found large technology firms leading standardization delegations without disclosing affiliations, raising concerns about industry capture of AI standard-setting [6].</w:t>
      </w: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a3a3a"/>
          <w:sz w:val="15"/>
          <w:szCs w:val="15"/>
          <w:vertAlign w:val="superscript"/>
        </w:rPr>
      </w:pPr>
      <w:r w:rsidDel="00000000" w:rsidR="00000000" w:rsidRPr="00000000">
        <w:rPr>
          <w:rFonts w:ascii="Avenir" w:cs="Avenir" w:eastAsia="Avenir" w:hAnsi="Avenir"/>
          <w:b w:val="1"/>
          <w:bCs w:val="1"/>
          <w:color w:val="024ea2"/>
          <w:sz w:val="15"/>
          <w:szCs w:val="15"/>
          <w:rtl w:val="0"/>
        </w:rPr>
        <w:t xml:space="preserve">Key Drivers:</w:t>
      </w:r>
      <w:r w:rsidDel="00000000" w:rsidR="00000000" w:rsidRPr="00000000">
        <w:rPr>
          <w:rtl w:val="0"/>
        </w:rPr>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AI deployment in safety-critical environments creates harm scenarios that voluntary ethics frameworks cannot address, making binding regulation unavoidable [7,8].</w:t>
      </w:r>
      <w:r w:rsidDel="00000000" w:rsidR="00000000" w:rsidRPr="00000000">
        <w:rPr>
          <w:rtl w:val="0"/>
        </w:rPr>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a3a3a"/>
          <w:sz w:val="15"/>
          <w:szCs w:val="15"/>
          <w:rtl w:val="0"/>
        </w:rPr>
        <w:t xml:space="preserve">The opacity of AI systems creates a structural evidentiary barrier that fault-based tort law cannot resolve without reform, driving momentum to place primary liability on developers [9].</w:t>
      </w:r>
      <w:r w:rsidDel="00000000" w:rsidR="00000000" w:rsidRPr="00000000">
        <w:rPr>
          <w:rtl w:val="0"/>
        </w:rPr>
      </w:r>
    </w:p>
    <w:p w:rsidR="00000000" w:rsidDel="00000000" w:rsidP="00000000" w:rsidRDefault="00000000" w:rsidRPr="00000000" w14:paraId="0000000E">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a3a3a"/>
          <w:sz w:val="15"/>
          <w:szCs w:val="15"/>
          <w:rtl w:val="0"/>
        </w:rPr>
        <w:t xml:space="preserve">The EU AI Act's extraterritorial reach creates global compliance obligations covering the entire system lifecycle, aligning with mandates emerging across major jurisdictions [7,8].</w:t>
      </w: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Challenges:</w:t>
      </w:r>
      <w:r w:rsidDel="00000000" w:rsidR="00000000" w:rsidRPr="00000000">
        <w:rPr>
          <w:rtl w:val="0"/>
        </w:rPr>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The unresolved tension between legally mandated interpretability and commercially driven secrecy makes formal standardization indispensable [3,4], since voluntary principles and guidelines alone cannot bridge the documented gap between high‑level ethics and actual AI practice [12].</w:t>
      </w:r>
      <w:r w:rsidDel="00000000" w:rsidR="00000000" w:rsidRPr="00000000">
        <w:rPr>
          <w:rtl w:val="0"/>
        </w:rPr>
      </w:r>
    </w:p>
    <w:p w:rsidR="00000000" w:rsidDel="00000000" w:rsidP="00000000" w:rsidRDefault="00000000" w:rsidRPr="00000000" w14:paraId="00000012">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Small and Medium-sized Enterprises (SMEs) face disproportionate market exclusion. Large firms allocate up to three times more of their AI budgets to compliance, enabling them to navigate costlier alternative pathways that smaller providers cannot afford. [5,11]</w:t>
      </w: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5">
      <w:pPr>
        <w:pBdr>
          <w:top w:color="000000" w:space="0" w:sz="0" w:val="none"/>
          <w:left w:color="000000" w:space="0" w:sz="0" w:val="none"/>
          <w:bottom w:color="000000" w:space="0" w:sz="8" w:val="singl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a3a3a"/>
          <w:sz w:val="15"/>
          <w:szCs w:val="15"/>
          <w:rtl w:val="0"/>
        </w:rPr>
        <w:t xml:space="preserve">Industrial AI companies that do not engage in standard-setting will be assessed against criteria written by large competitors. Systems once deployed as black boxes must now carry auditable documentation across their full lifecycle [1]. The absence of sector-specific industrial rules leaves the compliance baseline open for dominant standard-setters to define. As liability frameworks for AI-caused harm mature over the coming decades, the technical baseline being written today will determine the evidentiary standard against which industrial harm is judged, creating a durable structural advantage for early movers [5,9].</w:t>
      </w:r>
      <w:r w:rsidDel="00000000" w:rsidR="00000000" w:rsidRPr="00000000">
        <w:rPr>
          <w:rtl w:val="0"/>
        </w:rPr>
      </w:r>
    </w:p>
    <w:p w:rsidR="00000000" w:rsidDel="00000000" w:rsidP="00000000" w:rsidRDefault="00000000" w:rsidRPr="00000000" w14:paraId="00000016">
      <w:pPr>
        <w:pBdr>
          <w:top w:color="000000" w:space="0" w:sz="0" w:val="none"/>
          <w:left w:color="000000" w:space="0" w:sz="0" w:val="none"/>
          <w:bottom w:color="000000" w:space="0" w:sz="8" w:val="single"/>
          <w:right w:color="000000" w:space="0" w:sz="0" w:val="none"/>
          <w:between w:color="000000" w:space="0" w:sz="0" w:val="none"/>
        </w:pBdr>
        <w:spacing w:line="240" w:lineRule="auto"/>
        <w:jc w:val="both"/>
        <w:rPr>
          <w:rFonts w:ascii="Avenir" w:cs="Avenir" w:eastAsia="Avenir" w:hAnsi="Avenir"/>
          <w:color w:val="3a3a3a"/>
          <w:sz w:val="15"/>
          <w:szCs w:val="15"/>
          <w:vertAlign w:val="superscript"/>
        </w:rPr>
      </w:pPr>
      <w:r w:rsidDel="00000000" w:rsidR="00000000" w:rsidRPr="00000000">
        <w:rPr>
          <w:rtl w:val="0"/>
        </w:rPr>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References:</w:t>
      </w: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3c3f42"/>
          <w:sz w:val="15"/>
          <w:szCs w:val="15"/>
          <w:rtl w:val="0"/>
        </w:rPr>
        <w:t xml:space="preserve">[1] European Commission. Regulation (EU) 2024/1689 laying down harmonised rules on artificial intelligence (Artificial Intelligence Act). Official Journal of the European Union. 2024. Accessed March 9, 2026. </w:t>
      </w:r>
      <w:r w:rsidDel="00000000" w:rsidR="00000000" w:rsidRPr="00000000">
        <w:rPr>
          <w:rFonts w:ascii="Avenir" w:cs="Avenir" w:eastAsia="Avenir" w:hAnsi="Avenir"/>
          <w:color w:val="3c3f42"/>
          <w:sz w:val="15"/>
          <w:szCs w:val="15"/>
          <w:rtl w:val="0"/>
        </w:rPr>
        <w:t xml:space="preserve">https://digital-strategy.ec.europa.eu/en/policies/regulatory-framework-ai</w:t>
      </w:r>
      <w:r w:rsidDel="00000000" w:rsidR="00000000" w:rsidRPr="00000000">
        <w:rPr>
          <w:rtl w:val="0"/>
        </w:rPr>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3c3f42"/>
          <w:sz w:val="15"/>
          <w:szCs w:val="15"/>
          <w:rtl w:val="0"/>
        </w:rPr>
        <w:t xml:space="preserve">[2] European Parliament and Council. Directive (EU) 2024/2853 on liability for defective products. Official Journal of the European Union. Published November 18, 2024. Accessed March 30, 2026. </w:t>
      </w:r>
      <w:r w:rsidDel="00000000" w:rsidR="00000000" w:rsidRPr="00000000">
        <w:rPr>
          <w:rFonts w:ascii="Avenir" w:cs="Avenir" w:eastAsia="Avenir" w:hAnsi="Avenir"/>
          <w:color w:val="3c3f42"/>
          <w:sz w:val="15"/>
          <w:szCs w:val="15"/>
          <w:rtl w:val="0"/>
        </w:rPr>
        <w:t xml:space="preserve">https://eur-lex.europa.eu/eli/dir/2024/2853/oj/eng</w:t>
      </w:r>
      <w:r w:rsidDel="00000000" w:rsidR="00000000" w:rsidRPr="00000000">
        <w:rPr>
          <w:rtl w:val="0"/>
        </w:rPr>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[3] Judge B, Nitzberg M, Russell S. When code is not law: rethinking regulation for artificial intelligence. Policy and Society. 2024;44(1):85-97. doi:10.1093/polsoc/puae020</w:t>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[4] Buick A. Copyright and AI training data: transparency to the rescue? Journal of Intellectual Property Law and Practice. 2025;20(3):182-192. doi:10.1093/jiplp/jpae102</w:t>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[5] Leyden A. Standards and the EU AI Act: legitimacy, state of play, and future challenges. Information and Communications Technology Law. 2025. doi:10.1080/13600834.2025.2570966</w:t>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3c3f42"/>
          <w:sz w:val="15"/>
          <w:szCs w:val="15"/>
          <w:rtl w:val="0"/>
        </w:rPr>
        <w:t xml:space="preserve">[6] Corporate Europe Observatory. Setting the Rules of Their Own Game: How Big Tech Is Shaping AI Standards. Published January 9, 2025. Accessed March 9, 2026. </w:t>
      </w:r>
      <w:r w:rsidDel="00000000" w:rsidR="00000000" w:rsidRPr="00000000">
        <w:rPr>
          <w:rFonts w:ascii="Avenir" w:cs="Avenir" w:eastAsia="Avenir" w:hAnsi="Avenir"/>
          <w:color w:val="3c3f42"/>
          <w:sz w:val="15"/>
          <w:szCs w:val="15"/>
          <w:rtl w:val="0"/>
        </w:rPr>
        <w:t xml:space="preserve">https://corporateeurope.org/en/2025/01/setting-rules-their-own-game-how-big-tech-shaping-ai-standards</w:t>
      </w:r>
      <w:r w:rsidDel="00000000" w:rsidR="00000000" w:rsidRPr="00000000">
        <w:rPr>
          <w:rtl w:val="0"/>
        </w:rPr>
      </w:r>
    </w:p>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[7] Schuett J. Risk Management in the Artificial Intelligence Act. European Journal of Risk Regulation. 2024;15(2):367-385. doi:10.1017/err.2023.1</w:t>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[8] Hadfield GK, Clark J. Regulatory markets: the future of AI governance. Jurimetrics. 2026;65:195-240. doi:10.48550/arXiv.2304.04914</w:t>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[9] Buiten MC, de Streel A, Peitz M. The law and economics of AI liability. Computer Law and Security Review. 2023;48:105794. doi:10.1016/j.clsr.2023.105794</w:t>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commentRangeStart w:id="0"/>
      <w:r w:rsidDel="00000000" w:rsidR="00000000" w:rsidRPr="00000000">
        <w:rPr>
          <w:rFonts w:ascii="Avenir" w:cs="Avenir" w:eastAsia="Avenir" w:hAnsi="Avenir"/>
          <w:color w:val="3c3f42"/>
          <w:sz w:val="15"/>
          <w:szCs w:val="15"/>
          <w:rtl w:val="0"/>
        </w:rPr>
        <w:t xml:space="preserve">[10] Kilian R, Jack L, Ebel D. European AI Standards: Technical Standardisation and Implementation Challenges under the EU AI Act. European Journal of Risk Regulation. 2025;16(3):1038-1062. doi:10.1017/err.2025.10032</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[11] Perboli G, Simionato N, Pratali S. Navigating the AI regulatory landscape: Balancing innovation, ethics, and global governance. Economics and Political Studies. 2025;13(4):367-397. doi:10.1080/20954816.2025.2569584</w:t>
      </w:r>
    </w:p>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[12] Díaz-Rodríguez N, Del Ser J, Coeckelbergh M, López de Prado M, Herrera-Viedma E, Herrera F. Connecting the dots in trustworthy artificial intelligence: from AI principles, ethics, and key requirements to responsible AI systems and regulation. Inf Fusion. 2023;99:101896. doi:10.1016/j.inffus.2023.101896</w:t>
      </w:r>
    </w:p>
    <w:p w:rsidR="00000000" w:rsidDel="00000000" w:rsidP="00000000" w:rsidRDefault="00000000" w:rsidRPr="00000000" w14:paraId="0000002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2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Krrish Agarwalla" w:id="0" w:date="2026-03-31T11:20:02Z">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is never cited.</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