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Eroding Human Rights Enforcement</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As AI Replaces Human Agents, Rights Enforcement Erodes Structurally</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has shifted from experimental technology to critical national infrastructure, driven by geopolitical rivalry between the US, China, and the EU and </w:t>
      </w:r>
      <w:r w:rsidDel="00000000" w:rsidR="00000000" w:rsidRPr="00000000">
        <w:rPr>
          <w:rFonts w:ascii="Avenir" w:cs="Avenir" w:eastAsia="Avenir" w:hAnsi="Avenir"/>
          <w:color w:val="3c3f42"/>
          <w:sz w:val="15"/>
          <w:szCs w:val="15"/>
          <w:rtl w:val="0"/>
        </w:rPr>
        <w:t xml:space="preserve">formalized in instruments such as the EU AI Act and the Council of Europe's Framework Convention on AI [3,</w:t>
      </w:r>
      <w:r w:rsidDel="00000000" w:rsidR="00000000" w:rsidRPr="00000000">
        <w:rPr>
          <w:rFonts w:ascii="Avenir" w:cs="Avenir" w:eastAsia="Avenir" w:hAnsi="Avenir"/>
          <w:b w:val="1"/>
          <w:bCs w:val="1"/>
          <w:color w:val="3c3f42"/>
          <w:sz w:val="15"/>
          <w:szCs w:val="15"/>
          <w:rtl w:val="0"/>
        </w:rPr>
        <w:t xml:space="preserve">6</w:t>
      </w:r>
      <w:r w:rsidDel="00000000" w:rsidR="00000000" w:rsidRPr="00000000">
        <w:rPr>
          <w:rFonts w:ascii="Avenir" w:cs="Avenir" w:eastAsia="Avenir" w:hAnsi="Avenir"/>
          <w:color w:val="3c3f42"/>
          <w:sz w:val="15"/>
          <w:szCs w:val="15"/>
          <w:rtl w:val="0"/>
        </w:rPr>
        <w:t xml:space="preserve">]. As critical infrastructure, it gets built into the decisions societies depend on most: healthcare, welfare, criminal sentencing, and hiring. What differs from earlier automation is that industrial AI displaces human judgment in high-stakes decisions previously resistant to algorithmic substitution [4,5]. The EU AI Act now mandates human oversight as a binding design requirement for high-risk systems, yet the scope and enforceability of this obligation remain contested [8]. This displacement marks the point at which human rights law begins to erode. Its enforcement rests on three premises: a human agent made the decision, that agent can be held to account, and harm attaches to a person whose dignity gives rise to a legal claim [1,2]. When industrial AI makes the decision, all three fail at once. Rights persist in law, while the mechanisms for claiming them cease to function [1,4]. The more embedded industrial AI becomes, the more this failure will compound.</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EU AI Act and the Council of Europe's Framework Convention on AI are the first binding instruments addressing AI's threat to rights, but do not resolve cases where no human decision-maker is present [3].</w:t>
      </w:r>
      <w:r w:rsidDel="00000000" w:rsidR="00000000" w:rsidRPr="00000000">
        <w:rPr>
          <w:rtl w:val="0"/>
        </w:rPr>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2024 study documents AI's erosion at three levels: inability to seek accountability, unraveling of rights justifications, and degradation of human dignity as a legal concept [4].</w:t>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Algorithmic decisions on recidivism and welfare cause due-process failures, as decision logic is opaque and non-contestable [5].</w:t>
      </w:r>
    </w:p>
    <w:p w:rsidR="00000000" w:rsidDel="00000000" w:rsidP="00000000" w:rsidRDefault="00000000" w:rsidRPr="00000000" w14:paraId="0000000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UNESCO, whose Recommendation on AI Ethics applies to all 194 member states, identifies AI displacing human responsibility as a systemic risk [7].</w:t>
        <w:br w:type="textWrapping"/>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Geopolitical competition incentivizes states and corporations to deploy autonomous systems in public services before accountability frameworks adapt [3,5,</w:t>
      </w:r>
      <w:r w:rsidDel="00000000" w:rsidR="00000000" w:rsidRPr="00000000">
        <w:rPr>
          <w:rFonts w:ascii="Avenir" w:cs="Avenir" w:eastAsia="Avenir" w:hAnsi="Avenir"/>
          <w:b w:val="1"/>
          <w:bCs w:val="1"/>
          <w:color w:val="3c3f42"/>
          <w:sz w:val="15"/>
          <w:szCs w:val="15"/>
          <w:rtl w:val="0"/>
        </w:rPr>
        <w:t xml:space="preserve">6</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fundamental mismatch between legacy legal frameworks designed for human actors and the autonomy of modern systems actively drives accountability failures when harm occurs across borders [1,2].</w:t>
      </w: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Furthermore, the structural lag in regulatory adaptation grants technology companies a first-mover advantage, allowing them to embed autonomous systems into critical infrastructure long before legal constraints are established [5].</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vertAlign w:val="superscript"/>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11">
      <w:pPr>
        <w:numPr>
          <w:ilvl w:val="0"/>
          <w:numId w:val="1"/>
        </w:numPr>
        <w:pBdr>
          <w:top w:color="000000" w:space="0" w:sz="0" w:val="none"/>
          <w:left w:color="000000" w:space="0" w:sz="0" w:val="none"/>
          <w:bottom w:color="000000" w:space="1"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Human rights law has historically demonstrated the capacity to evolve in response to new technological realities. Its combination of legal remedies, moral justification, and political practice may generate adaptive responses that partially offset the accountability erosion this trend describes [5].</w:t>
      </w:r>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1"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concurrent emergence of the EU AI Act, the Council of Europe Framework Convention, and the UNESCO recommendation signals active institutional resistance to unchecked human displacement, which could slow the trend before it becomes structurally irreversible [3,7].</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For industrial AI operations, especially in high-stakes domains, explainability and human oversight will move from optional ethical features to mandatory architectural requirements [9]. This will differentiate the industry: regulated sectors such as healthcare, justice, and welfare will require fundamentally different governance architectures than consumer applications, concentrating development among actors able to absorb massive compliance costs [3,9]. The accountability vacuum also creates conditions for a new legal category in which autonomous systems carry assigned liability, reshaping corporate liability frameworks across jurisdictions over the next two decades [1,4].</w:t>
      </w:r>
    </w:p>
    <w:p w:rsidR="00000000" w:rsidDel="00000000" w:rsidP="00000000" w:rsidRDefault="00000000" w:rsidRPr="00000000" w14:paraId="00000016">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Fonts w:ascii="Avenir" w:cs="Avenir" w:eastAsia="Avenir" w:hAnsi="Avenir"/>
          <w:b w:val="1"/>
          <w:bCs w:val="1"/>
          <w:color w:val="024ea2"/>
          <w:sz w:val="15"/>
          <w:szCs w:val="15"/>
          <w:rtl w:val="0"/>
        </w:rPr>
        <w:t xml:space="preserve">:</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 Teo SA. How artificial intelligence systems challenge the conceptual foundations of the human rights legal framework. </w:t>
      </w:r>
      <w:r w:rsidDel="00000000" w:rsidR="00000000" w:rsidRPr="00000000">
        <w:rPr>
          <w:rFonts w:ascii="Avenir" w:cs="Avenir" w:eastAsia="Avenir" w:hAnsi="Avenir"/>
          <w:i w:val="1"/>
          <w:iCs w:val="1"/>
          <w:color w:val="0e101a"/>
          <w:sz w:val="15"/>
          <w:szCs w:val="15"/>
          <w:rtl w:val="0"/>
        </w:rPr>
        <w:t xml:space="preserve">Nord J Hum Rights</w:t>
      </w:r>
      <w:r w:rsidDel="00000000" w:rsidR="00000000" w:rsidRPr="00000000">
        <w:rPr>
          <w:rFonts w:ascii="Avenir" w:cs="Avenir" w:eastAsia="Avenir" w:hAnsi="Avenir"/>
          <w:color w:val="0e101a"/>
          <w:sz w:val="15"/>
          <w:szCs w:val="15"/>
          <w:rtl w:val="0"/>
        </w:rPr>
        <w:t xml:space="preserve">. 2022;40(1):1-22. doi:10.1080/18918131.2022.2073078</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[2] Chatham House. </w:t>
      </w:r>
      <w:r w:rsidDel="00000000" w:rsidR="00000000" w:rsidRPr="00000000">
        <w:rPr>
          <w:rFonts w:ascii="Avenir" w:cs="Avenir" w:eastAsia="Avenir" w:hAnsi="Avenir"/>
          <w:i w:val="1"/>
          <w:iCs w:val="1"/>
          <w:color w:val="0e101a"/>
          <w:sz w:val="15"/>
          <w:szCs w:val="15"/>
          <w:rtl w:val="0"/>
        </w:rPr>
        <w:t xml:space="preserve">AI Governance and Human Rights: Why Human Rights?</w:t>
      </w:r>
      <w:r w:rsidDel="00000000" w:rsidR="00000000" w:rsidRPr="00000000">
        <w:rPr>
          <w:rFonts w:ascii="Avenir" w:cs="Avenir" w:eastAsia="Avenir" w:hAnsi="Avenir"/>
          <w:color w:val="0e101a"/>
          <w:sz w:val="15"/>
          <w:szCs w:val="15"/>
          <w:rtl w:val="0"/>
        </w:rPr>
        <w:t xml:space="preserve"> Chatham House; 2023. Accessed March 31, 2026. </w:t>
      </w:r>
      <w:r w:rsidDel="00000000" w:rsidR="00000000" w:rsidRPr="00000000">
        <w:rPr>
          <w:rFonts w:ascii="Avenir" w:cs="Avenir" w:eastAsia="Avenir" w:hAnsi="Avenir"/>
          <w:color w:val="0e101a"/>
          <w:sz w:val="15"/>
          <w:szCs w:val="15"/>
          <w:rtl w:val="0"/>
        </w:rPr>
        <w:t xml:space="preserve">https://www.chathamhouse.org/2023/01/ai-governance-and-human-rights/03-governing-ai-why-human-rights</w:t>
      </w: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[3] Lasek-Markey M. Towards a human rights-based approach to ethical AI governance in Europe. </w:t>
      </w:r>
      <w:r w:rsidDel="00000000" w:rsidR="00000000" w:rsidRPr="00000000">
        <w:rPr>
          <w:rFonts w:ascii="Avenir" w:cs="Avenir" w:eastAsia="Avenir" w:hAnsi="Avenir"/>
          <w:i w:val="1"/>
          <w:iCs w:val="1"/>
          <w:color w:val="0e101a"/>
          <w:sz w:val="15"/>
          <w:szCs w:val="15"/>
          <w:rtl w:val="0"/>
        </w:rPr>
        <w:t xml:space="preserve">Philosophies</w:t>
      </w:r>
      <w:r w:rsidDel="00000000" w:rsidR="00000000" w:rsidRPr="00000000">
        <w:rPr>
          <w:rFonts w:ascii="Avenir" w:cs="Avenir" w:eastAsia="Avenir" w:hAnsi="Avenir"/>
          <w:color w:val="0e101a"/>
          <w:sz w:val="15"/>
          <w:szCs w:val="15"/>
          <w:rtl w:val="0"/>
        </w:rPr>
        <w:t xml:space="preserve">. 2024;9(6):181. doi:10.3390/philosophies9060181</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[4] Teo SA. Artificial intelligence and its 'slow violence' to human rights. </w:t>
      </w:r>
      <w:r w:rsidDel="00000000" w:rsidR="00000000" w:rsidRPr="00000000">
        <w:rPr>
          <w:rFonts w:ascii="Avenir" w:cs="Avenir" w:eastAsia="Avenir" w:hAnsi="Avenir"/>
          <w:i w:val="1"/>
          <w:iCs w:val="1"/>
          <w:color w:val="0e101a"/>
          <w:sz w:val="15"/>
          <w:szCs w:val="15"/>
          <w:rtl w:val="0"/>
        </w:rPr>
        <w:t xml:space="preserve">AI Ethics</w:t>
      </w:r>
      <w:r w:rsidDel="00000000" w:rsidR="00000000" w:rsidRPr="00000000">
        <w:rPr>
          <w:rFonts w:ascii="Avenir" w:cs="Avenir" w:eastAsia="Avenir" w:hAnsi="Avenir"/>
          <w:color w:val="0e101a"/>
          <w:sz w:val="15"/>
          <w:szCs w:val="15"/>
          <w:rtl w:val="0"/>
        </w:rPr>
        <w:t xml:space="preserve">. Published online 2024. doi:10.1007/s43681-024-00547-x</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[5] Bakiner O. The promises and challenges of addressing artificial intelligence with human rights. </w:t>
      </w:r>
      <w:r w:rsidDel="00000000" w:rsidR="00000000" w:rsidRPr="00000000">
        <w:rPr>
          <w:rFonts w:ascii="Avenir" w:cs="Avenir" w:eastAsia="Avenir" w:hAnsi="Avenir"/>
          <w:i w:val="1"/>
          <w:iCs w:val="1"/>
          <w:color w:val="0e101a"/>
          <w:sz w:val="15"/>
          <w:szCs w:val="15"/>
          <w:rtl w:val="0"/>
        </w:rPr>
        <w:t xml:space="preserve">Big Data Soc</w:t>
      </w:r>
      <w:r w:rsidDel="00000000" w:rsidR="00000000" w:rsidRPr="00000000">
        <w:rPr>
          <w:rFonts w:ascii="Avenir" w:cs="Avenir" w:eastAsia="Avenir" w:hAnsi="Avenir"/>
          <w:color w:val="0e101a"/>
          <w:sz w:val="15"/>
          <w:szCs w:val="15"/>
          <w:rtl w:val="0"/>
        </w:rPr>
        <w:t xml:space="preserve">. 2023;10(2). doi:10.1177/20539517231205476</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[6] </w:t>
      </w:r>
      <w:commentRangeStart w:id="0"/>
      <w:commentRangeStart w:id="1"/>
      <w:commentRangeStart w:id="2"/>
      <w:commentRangeStart w:id="3"/>
      <w:commentRangeStart w:id="4"/>
      <w:r w:rsidDel="00000000" w:rsidR="00000000" w:rsidRPr="00000000">
        <w:rPr>
          <w:rFonts w:ascii="Avenir" w:cs="Avenir" w:eastAsia="Avenir" w:hAnsi="Avenir"/>
          <w:color w:val="0e101a"/>
          <w:sz w:val="15"/>
          <w:szCs w:val="15"/>
          <w:rtl w:val="0"/>
        </w:rPr>
        <w:t xml:space="preserve">Schmid </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r w:rsidDel="00000000" w:rsidR="00000000" w:rsidRPr="00000000">
        <w:rPr>
          <w:rFonts w:ascii="Avenir" w:cs="Avenir" w:eastAsia="Avenir" w:hAnsi="Avenir"/>
          <w:color w:val="0e101a"/>
          <w:sz w:val="15"/>
          <w:szCs w:val="15"/>
          <w:rtl w:val="0"/>
        </w:rPr>
        <w:t xml:space="preserve">S, Lambach D, Diehl C, Reuter C. Great power competition for global leadership in artificial intelligence (AI): reconstructing AI narratives of the United States, China, and the European Union. Review of International Studies. 2026. doi:10.1017/S0260210525000543</w:t>
      </w: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[7] UNESCO. </w:t>
      </w:r>
      <w:r w:rsidDel="00000000" w:rsidR="00000000" w:rsidRPr="00000000">
        <w:rPr>
          <w:rFonts w:ascii="Avenir" w:cs="Avenir" w:eastAsia="Avenir" w:hAnsi="Avenir"/>
          <w:i w:val="1"/>
          <w:iCs w:val="1"/>
          <w:color w:val="0e101a"/>
          <w:sz w:val="15"/>
          <w:szCs w:val="15"/>
          <w:rtl w:val="0"/>
        </w:rPr>
        <w:t xml:space="preserve">Recommendation on the Ethics of Artificial Intelligence</w:t>
      </w:r>
      <w:r w:rsidDel="00000000" w:rsidR="00000000" w:rsidRPr="00000000">
        <w:rPr>
          <w:rFonts w:ascii="Avenir" w:cs="Avenir" w:eastAsia="Avenir" w:hAnsi="Avenir"/>
          <w:color w:val="0e101a"/>
          <w:sz w:val="15"/>
          <w:szCs w:val="15"/>
          <w:rtl w:val="0"/>
        </w:rPr>
        <w:t xml:space="preserve">. UNESCO; 2021. Accessed March 31, 2026. https://www.unesco.org/en/artificial-intelligence/recommendation-ethics</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[8] Enqvist L. ‘Human oversight’ in the EU artificial intelligence act: what, when and by whom? Law, Innovation and Technology. 2023;15(2):508-535. doi:10.1080/17579961.2023.2245683</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[9] European Parliament, Council of the European Union. Regulation (EU) 2024/1689 of 13 June 2024 laying down harmonised rules on artificial intelligence (Artificial Intelligence Act). Official Journal of the European Union. L, 2024/1689. July 12, 2024. Accessed March 31, 2026. http://data.europa.eu/eli/reg/2024/1689/oj</w:t>
      </w: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osefine Jacobs" w:id="0" w:date="2026-03-31T13:20:04Z">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Added this source, please check</w:t>
      </w:r>
    </w:p>
  </w:comment>
  <w:comment w:author="Lucas Li" w:id="1" w:date="2026-03-31T13:43:08Z">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@ali.karakullukcu@cdtm.com you on this?</w:t>
      </w:r>
    </w:p>
  </w:comment>
  <w:comment w:author="Ali Karakullukcu" w:id="2" w:date="2026-03-31T13:44:25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yess I was actually adding the same ref, but saw it changed good and fast work!</w:t>
      </w:r>
    </w:p>
  </w:comment>
  <w:comment w:author="Ali Karakullukcu" w:id="3" w:date="2026-03-31T13:44:36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Its finished i think</w:t>
      </w:r>
    </w:p>
  </w:comment>
  <w:comment w:author="Lucas Li" w:id="4" w:date="2026-03-31T13:45:56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Agreed, just give me two more minutes for final read and I'll transfer it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