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Legal Trends on Industrial AI</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8"/>
          <w:szCs w:val="18"/>
          <w:rtl w:val="0"/>
        </w:rPr>
        <w:t xml:space="preserve">Navigating a Legal and Political Minefield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Across manufacturing, AI is increasingly involved in decisions that affect workers, consumers, and citizens, even though the legal frameworks surrounding those decisions were built for human actors, fixed systems, and clearer chains of responsibility [1]. As automation extends into cognitive and non-routine tasks, with the WEF projecting that the human share of work tasks will fall from 47% to 33% by 2030, legal systems face mounting pressure to address liability, accountability, and rights in contexts they were not designed for [2]. </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core challenge is institutional. Legal frameworks depend on identifiable agents, stable artifacts, and bounded jurisdictions [1]. Industrial AI disrupts each of these assumptions. Self-adapting systems cannot be certified once and remain compliant, as their behavior continues to change after deployment [3]. Automated decisions in employment, safety, and welfare may have no clearly attributable human author [1]. Models trained across borders can simultaneously fall under multiple, conflicting data governance regimes [4,6]. These are not edge cases but standard features of industrial AI operating at scale [1,3].</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Regulatory responses are accelerating but remain incomplete. The EU AI Act introduces a risk-based framework covering high-risk industrial applications. Yet key compliance pathways remain undefined, as harmonized technical standards have not yet been published, leaving providers without a clear path to compliance [5]. Meanwhile, data governance is fragmenting along geopolitical lines, with major blocs developing incompatible rules on where data can be stored, transferred, and used [4,6]. In practice, this makes the legal geography of data a direct constraint on where industrial AI can be built and deployed. Beyond jurisdictional conflicts, human rights, largely designed for decisions attributable to identifiable human actors, are under strain as AI assumes consequential authority across industrial and social domains [1,7]. Where taxation and welfare systems remain dependent on labor income, the automation of routine and low-skilled work in particular threatens to erode the fiscal base that funds the social protections displaced workers need most [2,8].</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trends examined in this report are therefore not isolated compliance questions. They reflect a structural condition in which industrial AI is being deployed at a pace and scale that existing legal architecture was not designed to absorb [1,5]. Liability frameworks built for fixed products, human rights instruments built for identifiable agents, and welfare systems built on taxable labor are all being stress-tested simultaneously [1,5,7]. How governments and policymakers respond over the next fifteen years, whether through adaptive regulation, new accountability instruments, or coordinated governance across jurisdictions, will determine not only the legal conditions for industrial AI but the broader terms on which automation and democratic governance coexist [4,6,7].</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Teo SA. How artificial intelligence systems challenge the conceptual foundations of the human rights legal framework. Nord J Hum Rights. 2022;40(1):1-22. doi:10.1080/18918131.2022.2073078 </w:t>
      </w: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World Economic Forum. Future of Jobs Report 2025. World Economic Forum; January 2025. https://www.weforum.org/reports/the-future-of-jobs-report-2025/. Accessed March 8, 2026. </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Perez-Cerrolaza J, Abella J, Borg M, et al. Artificial intelligence for safety-critical systems in industrial and transportation domains: a survey. ACM Comput Surv. 2024;56(7):176. doi:10.1145/3626314 </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Panchenko V, Reznikova N, Bulatova O. Regulatory competition in the digital economy: new forms of protectionism. Int Econ Policy. 2020;(32-33):49-79. doi:10.33111/iep.2020.32_33.03_eng </w:t>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European Commission. Regulation (EU) 2024/1689 laying down harmonised rules on artificial intelligence (Artificial Intelligence Act). Off J Eur Union. 2024. Accessed March 9, 2026. </w:t>
      </w:r>
      <w:hyperlink r:id="rId6">
        <w:r w:rsidDel="00000000" w:rsidR="00000000" w:rsidRPr="00000000">
          <w:rPr>
            <w:rFonts w:ascii="Avenir" w:cs="Avenir" w:eastAsia="Avenir" w:hAnsi="Avenir"/>
            <w:color w:val="1155cc"/>
            <w:sz w:val="15"/>
            <w:szCs w:val="15"/>
            <w:u w:val="single"/>
            <w:rtl w:val="0"/>
          </w:rPr>
          <w:t xml:space="preserve">https://digital-strategy.ec.europa.eu/en/policies/regulatory-framework-ai</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Calderaro A, Blumfelde S. Artificial intelligence and EU security: the false promise of digital sovereignty. Eur Secur. 2022;31(3):415-434. doi:10.1080/09662839.2022.2101885 </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Bakiner O. The promises and challenges of addressing artificial intelligence with human rights. Big Data Soc. 2023;10(2). doi:10.1177/20539517231205476 </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Campa R. Human right to work and humanlike AI at work: technological unemployment as a legal and ethical issue. Stud Iuridica Lublinensia. 2025;34(2):375-394. doi:10.17951/sil.2025.34.2.375-394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igital-strategy.ec.europa.eu/en/policies/regulatory-framework-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