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RECONFIGURATION OF TRUST ESTABLISHMENT</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The Driver of Trust will be System Reliability and the Successful Calibration of Human Reliance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Safe Human-AI collaboration requires adaptive trust calibration to prevent operators from over-trusting or under-using autonomous systems [1]. Scaling AI needs workers’ trust, but that foundation is undermined when worker surveillance and a lack of explainability create an environment of opacity [2].</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The changes required to realize a symbiotic human-AI partnership can have a disruptive impact on the workforce within manufacturing companies [3]. Trust in AI differs significantly from trust in traditional automation due to the AI's ability to simulate human-like intelligence and autonomy [4]. Research indicates that trust in these systems is multidimensional and must be achieved at three levels [5]. Cognitive trust is grounded in the user's rational assessment of the system's competence, reliability, and predictability. Emotional trust arises from the affective bonds formed through anthropomorphic cues (such as human-like design) and responsive behaviors [6]. A third, emerging dimension is institutional trust, reflecting an evaluative orientation toward AI as a regulated system. This is influenced by the granting of legal or institutional status to AI [5].</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Trust in AI can be increased by the perceived cognitive and emotional capacity of the systems and decreased by societal-level concerns. [5]</w:t>
      </w:r>
      <w:r w:rsidDel="00000000" w:rsidR="00000000" w:rsidRPr="00000000">
        <w:rPr>
          <w:rtl w:val="0"/>
        </w:rPr>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Explainability is one necessary foundation for human trust in AI, but true trust requires connecting high-level ethical principles and practical, technical requirements such as transparency or robustness [8].</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Fear of algorithmic flagging stifles dialogue [14]</w:t>
      </w:r>
      <w:r w:rsidDel="00000000" w:rsidR="00000000" w:rsidRPr="00000000">
        <w:rPr>
          <w:rFonts w:ascii="Avenir" w:cs="Avenir" w:eastAsia="Avenir" w:hAnsi="Avenir"/>
          <w:color w:val="3c3f42"/>
          <w:sz w:val="15"/>
          <w:szCs w:val="15"/>
          <w:rtl w:val="0"/>
        </w:rPr>
        <w:t xml:space="preserve">, and </w:t>
      </w:r>
      <w:r w:rsidDel="00000000" w:rsidR="00000000" w:rsidRPr="00000000">
        <w:rPr>
          <w:rFonts w:ascii="Avenir" w:cs="Avenir" w:eastAsia="Avenir" w:hAnsi="Avenir"/>
          <w:color w:val="3c3f42"/>
          <w:sz w:val="15"/>
          <w:szCs w:val="15"/>
          <w:rtl w:val="0"/>
        </w:rPr>
        <w:t xml:space="preserve">AI monitoring can cause greater dissatisfaction and resistance than human supervision [12].</w:t>
      </w:r>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61% of United States (US) adults oppose tracking their movements, while about half reject AI-driven workforce decisions, such as layoffs [15]</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 multi-agent industrial AI systems, trust must be established through a “trust by design” approach, embedding ethical principles such as transparency and accountability [7].</w:t>
      </w: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Future workers in industrial sectors must not </w:t>
      </w:r>
      <w:r w:rsidDel="00000000" w:rsidR="00000000" w:rsidRPr="00000000">
        <w:rPr>
          <w:rFonts w:ascii="Avenir" w:cs="Avenir" w:eastAsia="Avenir" w:hAnsi="Avenir"/>
          <w:color w:val="434343"/>
          <w:sz w:val="15"/>
          <w:szCs w:val="15"/>
          <w:rtl w:val="0"/>
        </w:rPr>
        <w:t xml:space="preserve">only</w:t>
      </w:r>
      <w:r w:rsidDel="00000000" w:rsidR="00000000" w:rsidRPr="00000000">
        <w:rPr>
          <w:rFonts w:ascii="Avenir" w:cs="Avenir" w:eastAsia="Avenir" w:hAnsi="Avenir"/>
          <w:color w:val="3c3f42"/>
          <w:sz w:val="15"/>
          <w:szCs w:val="15"/>
          <w:rtl w:val="0"/>
        </w:rPr>
        <w:t xml:space="preserve"> possess high technological literacy but </w:t>
      </w:r>
      <w:r w:rsidDel="00000000" w:rsidR="00000000" w:rsidRPr="00000000">
        <w:rPr>
          <w:rFonts w:ascii="Avenir" w:cs="Avenir" w:eastAsia="Avenir" w:hAnsi="Avenir"/>
          <w:color w:val="3c3f42"/>
          <w:sz w:val="15"/>
          <w:szCs w:val="15"/>
          <w:rtl w:val="0"/>
        </w:rPr>
        <w:t xml:space="preserve">also a clear understanding of AI and data [10].</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a response to privacy concerns, many corporations are deploying privacy-preserving AI techniques. This enables companies to claim they are protecting worker privacy while still exerting control [11].</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vertAlign w:val="superscript"/>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Seeing an algorithm </w:t>
      </w:r>
      <w:r w:rsidDel="00000000" w:rsidR="00000000" w:rsidRPr="00000000">
        <w:rPr>
          <w:rFonts w:ascii="Avenir" w:cs="Avenir" w:eastAsia="Avenir" w:hAnsi="Avenir"/>
          <w:color w:val="3c3f42"/>
          <w:sz w:val="15"/>
          <w:szCs w:val="15"/>
          <w:rtl w:val="0"/>
        </w:rPr>
        <w:t xml:space="preserve">err</w:t>
      </w:r>
      <w:r w:rsidDel="00000000" w:rsidR="00000000" w:rsidRPr="00000000">
        <w:rPr>
          <w:rFonts w:ascii="Avenir" w:cs="Avenir" w:eastAsia="Avenir" w:hAnsi="Avenir"/>
          <w:color w:val="3c3f42"/>
          <w:sz w:val="15"/>
          <w:szCs w:val="15"/>
          <w:rtl w:val="0"/>
        </w:rPr>
        <w:t xml:space="preserve">or disproportionately destroys trust compared to human error, even if the AI is more accurate. While explainability aims to bridge this gap, it often highlights flaws in logic, further increasing algorithm aversion [9,13].</w:t>
      </w:r>
      <w:r w:rsidDel="00000000" w:rsidR="00000000" w:rsidRPr="00000000">
        <w:rPr>
          <w:rtl w:val="0"/>
        </w:rPr>
      </w:r>
    </w:p>
    <w:p w:rsidR="00000000" w:rsidDel="00000000" w:rsidP="00000000" w:rsidRDefault="00000000" w:rsidRPr="00000000" w14:paraId="0000001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When feeling threatened in their autonomy, workers tend to act with “performative productivity“, as in appeasing the algorithm, which undermines genuine innovation [14].</w:t>
      </w:r>
    </w:p>
    <w:p w:rsidR="00000000" w:rsidDel="00000000" w:rsidP="00000000" w:rsidRDefault="00000000" w:rsidRPr="00000000" w14:paraId="0000001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Trust suffers when algorithmic fallout occurs, which is when biased, automated systems ignore human commands or prioritize speed over fairness, causing severe personal harm and eroding industrial trust [16].</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Fonts w:ascii="Avenir" w:cs="Avenir" w:eastAsia="Avenir" w:hAnsi="Avenir"/>
          <w:color w:val="3c3f42"/>
          <w:sz w:val="15"/>
          <w:szCs w:val="15"/>
          <w:rtl w:val="0"/>
        </w:rPr>
        <w:br w:type="textWrapping"/>
        <w:t xml:space="preserve">In a high-trust scenario, autonomous systems are seamlessly embedded in work and social interactions, acting as trusted partners handling complexity while humans provide knowledge and judgment [17]. In a low-trust environment, the industry may stagnate. Resistance behaviors could undermine productivity gains, and the “privacy trap“ will lead to a culture of fear and alienation [16]. Organizations that fail to build trust will find their AI projects stalling under operational stress and human resistance [2]. If AI monitoring is framed as a tool for developmental feedback, resistance is lower. This suggests transparency and worker control are the deciding factors in whether surveillance builds or destroys trust [2].</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Sources</w:t>
      </w: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Okamura K, Yamada S. Adaptive trust calibration for human-AI collaboration. </w:t>
      </w:r>
      <w:r w:rsidDel="00000000" w:rsidR="00000000" w:rsidRPr="00000000">
        <w:rPr>
          <w:rFonts w:ascii="Avenir" w:cs="Avenir" w:eastAsia="Avenir" w:hAnsi="Avenir"/>
          <w:i w:val="1"/>
          <w:iCs w:val="1"/>
          <w:color w:val="3c3f42"/>
          <w:sz w:val="15"/>
          <w:szCs w:val="15"/>
          <w:rtl w:val="0"/>
        </w:rPr>
        <w:t xml:space="preserve">PLoS One</w:t>
      </w:r>
      <w:r w:rsidDel="00000000" w:rsidR="00000000" w:rsidRPr="00000000">
        <w:rPr>
          <w:rFonts w:ascii="Avenir" w:cs="Avenir" w:eastAsia="Avenir" w:hAnsi="Avenir"/>
          <w:color w:val="3c3f42"/>
          <w:sz w:val="15"/>
          <w:szCs w:val="15"/>
          <w:rtl w:val="0"/>
        </w:rPr>
        <w:t xml:space="preserve">. 2020;15(2):e0229132. Published 2020 Feb 21. doi:10.1371/journal.pone.0229132. Accessed March 6, 2026.</w:t>
      </w:r>
      <w:hyperlink r:id="rId6">
        <w:r w:rsidDel="00000000" w:rsidR="00000000" w:rsidRPr="00000000">
          <w:rPr>
            <w:rFonts w:ascii="Avenir" w:cs="Avenir" w:eastAsia="Avenir" w:hAnsi="Avenir"/>
            <w:color w:val="024ea2"/>
            <w:sz w:val="15"/>
            <w:szCs w:val="15"/>
            <w:rtl w:val="0"/>
          </w:rPr>
          <w:t xml:space="preserve"> </w:t>
        </w:r>
      </w:hyperlink>
      <w:hyperlink r:id="rId7">
        <w:r w:rsidDel="00000000" w:rsidR="00000000" w:rsidRPr="00000000">
          <w:rPr>
            <w:rFonts w:ascii="Avenir" w:cs="Avenir" w:eastAsia="Avenir" w:hAnsi="Avenir"/>
            <w:color w:val="024ea2"/>
            <w:sz w:val="15"/>
            <w:szCs w:val="15"/>
            <w:u w:val="single"/>
            <w:rtl w:val="0"/>
          </w:rPr>
          <w:t xml:space="preserve">https://pmc.ncbi.nlm.nih.gov/articles/PMC7034851/</w:t>
        </w:r>
      </w:hyperlink>
      <w:r w:rsidDel="00000000" w:rsidR="00000000" w:rsidRPr="00000000">
        <w:rPr>
          <w:rFonts w:ascii="Avenir" w:cs="Avenir" w:eastAsia="Avenir" w:hAnsi="Avenir"/>
          <w:color w:val="4a86e8"/>
          <w:sz w:val="15"/>
          <w:szCs w:val="15"/>
          <w:rtl w:val="0"/>
        </w:rPr>
        <w:t xml:space="preserve"> </w:t>
      </w:r>
    </w:p>
    <w:p w:rsidR="00000000" w:rsidDel="00000000" w:rsidP="00000000" w:rsidRDefault="00000000" w:rsidRPr="00000000" w14:paraId="0000001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Pawar PS, Varghese BS. A study on the impact of AI monitoring tools on employee productivity in the IT sector. </w:t>
      </w:r>
      <w:r w:rsidDel="00000000" w:rsidR="00000000" w:rsidRPr="00000000">
        <w:rPr>
          <w:rFonts w:ascii="Avenir" w:cs="Avenir" w:eastAsia="Avenir" w:hAnsi="Avenir"/>
          <w:i w:val="1"/>
          <w:iCs w:val="1"/>
          <w:color w:val="3c3f42"/>
          <w:sz w:val="15"/>
          <w:szCs w:val="15"/>
          <w:rtl w:val="0"/>
        </w:rPr>
        <w:t xml:space="preserve">TIJER</w:t>
      </w:r>
      <w:r w:rsidDel="00000000" w:rsidR="00000000" w:rsidRPr="00000000">
        <w:rPr>
          <w:rFonts w:ascii="Avenir" w:cs="Avenir" w:eastAsia="Avenir" w:hAnsi="Avenir"/>
          <w:color w:val="3c3f42"/>
          <w:sz w:val="15"/>
          <w:szCs w:val="15"/>
          <w:rtl w:val="0"/>
        </w:rPr>
        <w:t xml:space="preserve">. 2025;12(8):a602-a606. Accessed March 31, 2026.</w:t>
      </w:r>
      <w:hyperlink r:id="rId8">
        <w:r w:rsidDel="00000000" w:rsidR="00000000" w:rsidRPr="00000000">
          <w:rPr>
            <w:rFonts w:ascii="Avenir" w:cs="Avenir" w:eastAsia="Avenir" w:hAnsi="Avenir"/>
            <w:color w:val="3c3f42"/>
            <w:sz w:val="15"/>
            <w:szCs w:val="15"/>
            <w:rtl w:val="0"/>
          </w:rPr>
          <w:t xml:space="preserve"> </w:t>
        </w:r>
      </w:hyperlink>
      <w:hyperlink r:id="rId9">
        <w:r w:rsidDel="00000000" w:rsidR="00000000" w:rsidRPr="00000000">
          <w:rPr>
            <w:rFonts w:ascii="Avenir" w:cs="Avenir" w:eastAsia="Avenir" w:hAnsi="Avenir"/>
            <w:color w:val="1155cc"/>
            <w:sz w:val="15"/>
            <w:szCs w:val="15"/>
            <w:u w:val="single"/>
            <w:rtl w:val="0"/>
          </w:rPr>
          <w:t xml:space="preserve">https://tijer.org/tijer/papers/TIJER2508070.pdf</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Wang X, Long L. The innovation paradox in human-AI symbiosis: ambidextrous effects of AI technology adoption on innovative behavior. Front Artif Intell. 2025;8:1635246. doi:10.3389/frai.2025.1635246. </w:t>
      </w:r>
    </w:p>
    <w:p w:rsidR="00000000" w:rsidDel="00000000" w:rsidP="00000000" w:rsidRDefault="00000000" w:rsidRPr="00000000" w14:paraId="00000021">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Glikson E, Woolley AW. Human trust in artificial intelligence: review of empirical research. </w:t>
      </w:r>
      <w:r w:rsidDel="00000000" w:rsidR="00000000" w:rsidRPr="00000000">
        <w:rPr>
          <w:rFonts w:ascii="Avenir" w:cs="Avenir" w:eastAsia="Avenir" w:hAnsi="Avenir"/>
          <w:i w:val="1"/>
          <w:iCs w:val="1"/>
          <w:color w:val="3c3f42"/>
          <w:sz w:val="15"/>
          <w:szCs w:val="15"/>
          <w:rtl w:val="0"/>
        </w:rPr>
        <w:t xml:space="preserve">Acad Manag Ann</w:t>
      </w:r>
      <w:r w:rsidDel="00000000" w:rsidR="00000000" w:rsidRPr="00000000">
        <w:rPr>
          <w:rFonts w:ascii="Avenir" w:cs="Avenir" w:eastAsia="Avenir" w:hAnsi="Avenir"/>
          <w:color w:val="3c3f42"/>
          <w:sz w:val="15"/>
          <w:szCs w:val="15"/>
          <w:rtl w:val="0"/>
        </w:rPr>
        <w:t xml:space="preserve">. 2020;14(2):627-660. doi:10.5465/annals.2018.0057. Accessed March 6, 2026.</w:t>
      </w:r>
      <w:hyperlink r:id="rId10">
        <w:r w:rsidDel="00000000" w:rsidR="00000000" w:rsidRPr="00000000">
          <w:rPr>
            <w:rFonts w:ascii="Avenir" w:cs="Avenir" w:eastAsia="Avenir" w:hAnsi="Avenir"/>
            <w:color w:val="3c3f42"/>
            <w:sz w:val="15"/>
            <w:szCs w:val="15"/>
            <w:rtl w:val="0"/>
          </w:rPr>
          <w:t xml:space="preserve"> </w:t>
        </w:r>
      </w:hyperlink>
      <w:hyperlink r:id="rId11">
        <w:r w:rsidDel="00000000" w:rsidR="00000000" w:rsidRPr="00000000">
          <w:rPr>
            <w:rFonts w:ascii="Avenir" w:cs="Avenir" w:eastAsia="Avenir" w:hAnsi="Avenir"/>
            <w:color w:val="1155cc"/>
            <w:sz w:val="15"/>
            <w:szCs w:val="15"/>
            <w:u w:val="single"/>
            <w:rtl w:val="0"/>
          </w:rPr>
          <w:t xml:space="preserve">https://journals.aom.org/doi/10.5465/annals.2018.0057</w:t>
        </w:r>
      </w:hyperlink>
      <w:r w:rsidDel="00000000" w:rsidR="00000000" w:rsidRPr="00000000">
        <w:rPr>
          <w:rtl w:val="0"/>
        </w:rPr>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Jang M. Building trust in AI: the role of technical capacity, social risk, and corporate institutional accountability. Information. 2026;17(2):212. doi:10.3390/info17020212. Accessed March 6, 2026. </w:t>
      </w:r>
      <w:hyperlink r:id="rId12">
        <w:r w:rsidDel="00000000" w:rsidR="00000000" w:rsidRPr="00000000">
          <w:rPr>
            <w:rFonts w:ascii="Avenir" w:cs="Avenir" w:eastAsia="Avenir" w:hAnsi="Avenir"/>
            <w:color w:val="1155cc"/>
            <w:sz w:val="15"/>
            <w:szCs w:val="15"/>
            <w:u w:val="single"/>
            <w:rtl w:val="0"/>
          </w:rPr>
          <w:t xml:space="preserve">https://www.mdpi.com/2078-2489/17/2/212</w:t>
        </w:r>
      </w:hyperlink>
      <w:r w:rsidDel="00000000" w:rsidR="00000000" w:rsidRPr="00000000">
        <w:rPr>
          <w:rtl w:val="0"/>
        </w:rPr>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Shang R, Hsieh G, Shah C. Trusting your AI agent emotionally and cognitively: development and validation of a semantic differential scale for AI trust. In: Proceedings of the 2024 AAAI/ACM Conference on AI, Ethics, and Society. Association for Computing Machinery; 2024. </w:t>
      </w:r>
      <w:hyperlink r:id="rId13">
        <w:r w:rsidDel="00000000" w:rsidR="00000000" w:rsidRPr="00000000">
          <w:rPr>
            <w:rFonts w:ascii="Avenir" w:cs="Avenir" w:eastAsia="Avenir" w:hAnsi="Avenir"/>
            <w:color w:val="1155cc"/>
            <w:sz w:val="15"/>
            <w:szCs w:val="15"/>
            <w:u w:val="single"/>
            <w:rtl w:val="0"/>
          </w:rPr>
          <w:t xml:space="preserve">https://doi.org/10.48550/arXiv.2408.05354</w:t>
        </w:r>
      </w:hyperlink>
      <w:r w:rsidDel="00000000" w:rsidR="00000000" w:rsidRPr="00000000">
        <w:rPr>
          <w:rFonts w:ascii="Avenir" w:cs="Avenir" w:eastAsia="Avenir" w:hAnsi="Avenir"/>
          <w:color w:val="3c3f42"/>
          <w:sz w:val="15"/>
          <w:szCs w:val="15"/>
          <w:rtl w:val="0"/>
        </w:rPr>
        <w:t xml:space="preserve">. Accessed March 6, 2026.</w:t>
      </w:r>
    </w:p>
    <w:p w:rsidR="00000000" w:rsidDel="00000000" w:rsidP="00000000" w:rsidRDefault="00000000" w:rsidRPr="00000000" w14:paraId="00000024">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Mentzas G, Hribernik K, Stahre J, Romero D, Soldatos J. Editorial: human-centered artificial intelligence in industry 5.0. Front Artif Intell. 2024;7:1429186. doi:10.3389/frai.2024.1429186.</w:t>
      </w:r>
      <w:r w:rsidDel="00000000" w:rsidR="00000000" w:rsidRPr="00000000">
        <w:rPr>
          <w:rtl w:val="0"/>
        </w:rPr>
      </w:r>
    </w:p>
    <w:p w:rsidR="00000000" w:rsidDel="00000000" w:rsidP="00000000" w:rsidRDefault="00000000" w:rsidRPr="00000000" w14:paraId="00000025">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Díaz-Rodríguez N, Del Ser J, Coeckelbergh M, et al. Connecting the dots in trustworthy artificial intelligence: from AI principles, ethics, and key requirements to responsible AI systems and regulation. Inf Fusion. 2023;99:101896. doi:10.1016/j.inffus.2023.101896. Accessed March 6, 2026. </w:t>
      </w:r>
      <w:hyperlink r:id="rId14">
        <w:r w:rsidDel="00000000" w:rsidR="00000000" w:rsidRPr="00000000">
          <w:rPr>
            <w:rFonts w:ascii="Avenir" w:cs="Avenir" w:eastAsia="Avenir" w:hAnsi="Avenir"/>
            <w:color w:val="1155cc"/>
            <w:sz w:val="15"/>
            <w:szCs w:val="15"/>
            <w:u w:val="single"/>
            <w:rtl w:val="0"/>
          </w:rPr>
          <w:t xml:space="preserve">https://www.sciencedirect.com/science/article/pii/S1566253523001148</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Leichtmann B, Humer C, Hinterreiter A, Streit M, Mara M. Effects of explainable artificial intelligence on trust and human behavior in a high-risk decision task. Comput Hum Behav. 2023;139:107539. doi:10.1016/j.chb.2022.107539. Accessed March 9, 2026.  </w:t>
      </w:r>
      <w:hyperlink r:id="rId15">
        <w:r w:rsidDel="00000000" w:rsidR="00000000" w:rsidRPr="00000000">
          <w:rPr>
            <w:rFonts w:ascii="Avenir" w:cs="Avenir" w:eastAsia="Avenir" w:hAnsi="Avenir"/>
            <w:color w:val="1155cc"/>
            <w:sz w:val="15"/>
            <w:szCs w:val="15"/>
            <w:u w:val="single"/>
            <w:rtl w:val="0"/>
          </w:rPr>
          <w:t xml:space="preserve">https://www.sciencedirect.com/science/article/pii/S0747563222003594</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World Economic Forum. The future of jobs report 2025. Published March 30, 2026. Accessed March 30, 2026. </w:t>
      </w:r>
      <w:hyperlink r:id="rId16">
        <w:r w:rsidDel="00000000" w:rsidR="00000000" w:rsidRPr="00000000">
          <w:rPr>
            <w:rFonts w:ascii="Avenir" w:cs="Avenir" w:eastAsia="Avenir" w:hAnsi="Avenir"/>
            <w:color w:val="1155cc"/>
            <w:sz w:val="15"/>
            <w:szCs w:val="15"/>
            <w:u w:val="single"/>
            <w:rtl w:val="0"/>
          </w:rPr>
          <w:t xml:space="preserve">https://www.weforum.org/publications/the-future-of-jobs-report-2025/</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Patel SN. Do privacy-preserving technologies harm workers? Prof. Seema N. Patel unpacks impacts of emerging AI tools. UC Law San Francisco. Published November 18, 2025. Accessed March 6, 2026.</w:t>
      </w:r>
      <w:hyperlink r:id="rId17">
        <w:r w:rsidDel="00000000" w:rsidR="00000000" w:rsidRPr="00000000">
          <w:rPr>
            <w:rFonts w:ascii="Avenir" w:cs="Avenir" w:eastAsia="Avenir" w:hAnsi="Avenir"/>
            <w:color w:val="3c3f42"/>
            <w:sz w:val="15"/>
            <w:szCs w:val="15"/>
            <w:rtl w:val="0"/>
          </w:rPr>
          <w:t xml:space="preserve"> </w:t>
        </w:r>
      </w:hyperlink>
      <w:hyperlink r:id="rId18">
        <w:r w:rsidDel="00000000" w:rsidR="00000000" w:rsidRPr="00000000">
          <w:rPr>
            <w:rFonts w:ascii="Avenir" w:cs="Avenir" w:eastAsia="Avenir" w:hAnsi="Avenir"/>
            <w:color w:val="1155cc"/>
            <w:sz w:val="15"/>
            <w:szCs w:val="15"/>
            <w:u w:val="single"/>
            <w:rtl w:val="0"/>
          </w:rPr>
          <w:t xml:space="preserve">https://www.uclawsf.edu/2025/11/18/do-privacy-preserving-technologies-harm-workers-prof-seema-n-patel-unpacks-impacts-of-emerging-ai-tools/</w:t>
        </w:r>
      </w:hyperlink>
      <w:r w:rsidDel="00000000" w:rsidR="00000000" w:rsidRPr="00000000">
        <w:rPr>
          <w:rtl w:val="0"/>
        </w:rPr>
      </w:r>
    </w:p>
    <w:p w:rsidR="00000000" w:rsidDel="00000000" w:rsidP="00000000" w:rsidRDefault="00000000" w:rsidRPr="00000000" w14:paraId="00000029">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Maurer R. AI surveillance in the workplace linked to employee resistance. SHRM. Published August 12, 2024. Accessed March 6, 2026.</w:t>
      </w:r>
      <w:hyperlink r:id="rId19">
        <w:r w:rsidDel="00000000" w:rsidR="00000000" w:rsidRPr="00000000">
          <w:rPr>
            <w:rFonts w:ascii="Avenir" w:cs="Avenir" w:eastAsia="Avenir" w:hAnsi="Avenir"/>
            <w:color w:val="3c3f42"/>
            <w:sz w:val="15"/>
            <w:szCs w:val="15"/>
            <w:rtl w:val="0"/>
          </w:rPr>
          <w:t xml:space="preserve"> </w:t>
        </w:r>
      </w:hyperlink>
      <w:hyperlink r:id="rId20">
        <w:r w:rsidDel="00000000" w:rsidR="00000000" w:rsidRPr="00000000">
          <w:rPr>
            <w:rFonts w:ascii="Avenir" w:cs="Avenir" w:eastAsia="Avenir" w:hAnsi="Avenir"/>
            <w:color w:val="1155cc"/>
            <w:sz w:val="15"/>
            <w:szCs w:val="15"/>
            <w:u w:val="single"/>
            <w:rtl w:val="0"/>
          </w:rPr>
          <w:t xml:space="preserve">https://www.shrm.org/topics-tools/news/employee-relations/ai-surveillance-in-the-workplace-linked-to-employee-resistance</w:t>
        </w:r>
      </w:hyperlink>
      <w:r w:rsidDel="00000000" w:rsidR="00000000" w:rsidRPr="00000000">
        <w:rPr>
          <w:rtl w:val="0"/>
        </w:rPr>
      </w:r>
    </w:p>
    <w:p w:rsidR="00000000" w:rsidDel="00000000" w:rsidP="00000000" w:rsidRDefault="00000000" w:rsidRPr="00000000" w14:paraId="0000002A">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Dietvorst BJ, Simmons JP, Massey C. Algorithm aversion: People erroneously avoid algorithms after seeing them err. J Exp Psychol Gen. 2015;144(1):114-126. doi:10.1037/xge0000033. Accessed March 9, 2026.  </w:t>
      </w:r>
      <w:hyperlink r:id="rId21">
        <w:r w:rsidDel="00000000" w:rsidR="00000000" w:rsidRPr="00000000">
          <w:rPr>
            <w:rFonts w:ascii="Avenir" w:cs="Avenir" w:eastAsia="Avenir" w:hAnsi="Avenir"/>
            <w:color w:val="1155cc"/>
            <w:sz w:val="15"/>
            <w:szCs w:val="15"/>
            <w:u w:val="single"/>
            <w:rtl w:val="0"/>
          </w:rPr>
          <w:t xml:space="preserve">https://pubmed.ncbi.nlm.nih.gov/25401381/</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B">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Global Institute for Human Rights Research. Redefining productivity in the age of workplace surveillance. Human Rights Research. Published July 29, 2024. Accessed March 6, 2026.</w:t>
      </w:r>
      <w:hyperlink r:id="rId22">
        <w:r w:rsidDel="00000000" w:rsidR="00000000" w:rsidRPr="00000000">
          <w:rPr>
            <w:rFonts w:ascii="Avenir" w:cs="Avenir" w:eastAsia="Avenir" w:hAnsi="Avenir"/>
            <w:color w:val="3c3f42"/>
            <w:sz w:val="15"/>
            <w:szCs w:val="15"/>
            <w:rtl w:val="0"/>
          </w:rPr>
          <w:t xml:space="preserve"> </w:t>
        </w:r>
      </w:hyperlink>
      <w:hyperlink r:id="rId23">
        <w:r w:rsidDel="00000000" w:rsidR="00000000" w:rsidRPr="00000000">
          <w:rPr>
            <w:rFonts w:ascii="Avenir" w:cs="Avenir" w:eastAsia="Avenir" w:hAnsi="Avenir"/>
            <w:color w:val="1155cc"/>
            <w:sz w:val="15"/>
            <w:szCs w:val="15"/>
            <w:u w:val="single"/>
            <w:rtl w:val="0"/>
          </w:rPr>
          <w:t xml:space="preserve">https://www.humanrightsresearch.org/post/redefining-productivity-in-the-age-of-workplace-surveillance</w:t>
        </w:r>
      </w:hyperlink>
      <w:r w:rsidDel="00000000" w:rsidR="00000000" w:rsidRPr="00000000">
        <w:rPr>
          <w:rtl w:val="0"/>
        </w:rPr>
      </w:r>
    </w:p>
    <w:p w:rsidR="00000000" w:rsidDel="00000000" w:rsidP="00000000" w:rsidRDefault="00000000" w:rsidRPr="00000000" w14:paraId="0000002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Rainie L, Anderson M, McClain C, Vogels EA, Gelles-Watnick R. Americans’ views on use of AI to monitor and evaluate workers. Pew Research Center. Published April 20, 2023. Accessed March 30, 2026. </w:t>
      </w:r>
      <w:hyperlink r:id="rId24">
        <w:r w:rsidDel="00000000" w:rsidR="00000000" w:rsidRPr="00000000">
          <w:rPr>
            <w:rFonts w:ascii="Avenir" w:cs="Avenir" w:eastAsia="Avenir" w:hAnsi="Avenir"/>
            <w:color w:val="1155cc"/>
            <w:sz w:val="15"/>
            <w:szCs w:val="15"/>
            <w:u w:val="single"/>
            <w:rtl w:val="0"/>
          </w:rPr>
          <w:t xml:space="preserve">https://www.pewresearch.org/internet/2023/04/20/americans-views-on-use-of-ai-to-monitor-and-evaluate-workers/</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Akter S, McCarthy G, Sajib S, et al. Algorithmic bias in data-driven innovation in the age of AI. Int J Inf Manag. 2021;60:102387. doi:10.1016/j.ijinfomgt.2021.102387</w:t>
      </w:r>
    </w:p>
    <w:p w:rsidR="00000000" w:rsidDel="00000000" w:rsidP="00000000" w:rsidRDefault="00000000" w:rsidRPr="00000000" w14:paraId="0000002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World Economic Forum. AI strategic foresight: future thinking for the age of AI. World Economic Forum. Published December 20, 2025. Accessed March 6, 2026.</w:t>
      </w:r>
      <w:hyperlink r:id="rId25">
        <w:r w:rsidDel="00000000" w:rsidR="00000000" w:rsidRPr="00000000">
          <w:rPr>
            <w:rFonts w:ascii="Avenir" w:cs="Avenir" w:eastAsia="Avenir" w:hAnsi="Avenir"/>
            <w:color w:val="3c3f42"/>
            <w:sz w:val="15"/>
            <w:szCs w:val="15"/>
            <w:rtl w:val="0"/>
          </w:rPr>
          <w:t xml:space="preserve"> </w:t>
        </w:r>
      </w:hyperlink>
      <w:hyperlink r:id="rId26">
        <w:r w:rsidDel="00000000" w:rsidR="00000000" w:rsidRPr="00000000">
          <w:rPr>
            <w:rFonts w:ascii="Avenir" w:cs="Avenir" w:eastAsia="Avenir" w:hAnsi="Avenir"/>
            <w:color w:val="1155cc"/>
            <w:sz w:val="15"/>
            <w:szCs w:val="15"/>
            <w:u w:val="single"/>
            <w:rtl w:val="0"/>
          </w:rPr>
          <w:t xml:space="preserve">https://www.weforum.org/stories/2025/12/ai-strategic-foresight-future-thinking/</w:t>
        </w:r>
      </w:hyperlink>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shrm.org/topics-tools/news/employee-relations/ai-surveillance-in-the-workplace-linked-to-employee-resistance" TargetMode="External"/><Relationship Id="rId22" Type="http://schemas.openxmlformats.org/officeDocument/2006/relationships/hyperlink" Target="https://www.humanrightsresearch.org/post/redefining-productivity-in-the-age-of-workplace-surveillance" TargetMode="External"/><Relationship Id="rId21" Type="http://schemas.openxmlformats.org/officeDocument/2006/relationships/hyperlink" Target="https://pubmed.ncbi.nlm.nih.gov/25401381/" TargetMode="External"/><Relationship Id="rId24" Type="http://schemas.openxmlformats.org/officeDocument/2006/relationships/hyperlink" Target="https://www.pewresearch.org/internet/2023/04/20/americans-views-on-use-of-ai-to-monitor-and-evaluate-workers/" TargetMode="External"/><Relationship Id="rId23" Type="http://schemas.openxmlformats.org/officeDocument/2006/relationships/hyperlink" Target="https://www.humanrightsresearch.org/post/redefining-productivity-in-the-age-of-workplace-surveillanc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ijer.org/tijer/papers/TIJER2508070.pdf" TargetMode="External"/><Relationship Id="rId26" Type="http://schemas.openxmlformats.org/officeDocument/2006/relationships/hyperlink" Target="https://www.weforum.org/stories/2025/12/ai-strategic-foresight-future-thinking/" TargetMode="External"/><Relationship Id="rId25" Type="http://schemas.openxmlformats.org/officeDocument/2006/relationships/hyperlink" Target="https://www.weforum.org/stories/2025/12/ai-strategic-foresight-future-thinking/" TargetMode="External"/><Relationship Id="rId5" Type="http://schemas.openxmlformats.org/officeDocument/2006/relationships/styles" Target="styles.xml"/><Relationship Id="rId6" Type="http://schemas.openxmlformats.org/officeDocument/2006/relationships/hyperlink" Target="https://pmc.ncbi.nlm.nih.gov/articles/PMC7034851/" TargetMode="External"/><Relationship Id="rId7" Type="http://schemas.openxmlformats.org/officeDocument/2006/relationships/hyperlink" Target="https://pmc.ncbi.nlm.nih.gov/articles/PMC7034851/" TargetMode="External"/><Relationship Id="rId8" Type="http://schemas.openxmlformats.org/officeDocument/2006/relationships/hyperlink" Target="https://www.researchgate.net/publication/395004286_A_Study_on_the_Impact_of_AI_Monitoring_Tools_on_Employee_Productivity_in_the_IT_Sector" TargetMode="External"/><Relationship Id="rId11" Type="http://schemas.openxmlformats.org/officeDocument/2006/relationships/hyperlink" Target="https://journals.aom.org/doi/10.5465/annals.2018.0057" TargetMode="External"/><Relationship Id="rId10" Type="http://schemas.openxmlformats.org/officeDocument/2006/relationships/hyperlink" Target="https://journals.aom.org/doi/10.5465/annals.2018.0057" TargetMode="External"/><Relationship Id="rId13" Type="http://schemas.openxmlformats.org/officeDocument/2006/relationships/hyperlink" Target="https://doi.org/10.48550/arXiv.2408.05354" TargetMode="External"/><Relationship Id="rId12" Type="http://schemas.openxmlformats.org/officeDocument/2006/relationships/hyperlink" Target="https://www.mdpi.com/2078-2489/17/2/212" TargetMode="External"/><Relationship Id="rId15" Type="http://schemas.openxmlformats.org/officeDocument/2006/relationships/hyperlink" Target="https://www.sciencedirect.com/science/article/pii/S0747563222003594" TargetMode="External"/><Relationship Id="rId14" Type="http://schemas.openxmlformats.org/officeDocument/2006/relationships/hyperlink" Target="https://www.sciencedirect.com/science/article/pii/S1566253523001148" TargetMode="External"/><Relationship Id="rId17" Type="http://schemas.openxmlformats.org/officeDocument/2006/relationships/hyperlink" Target="https://www.uclawsf.edu/2025/11/18/do-privacy-preserving-technologies-harm-workers-prof-seema-n-patel-unpacks-impacts-of-emerging-ai-tools/" TargetMode="External"/><Relationship Id="rId16" Type="http://schemas.openxmlformats.org/officeDocument/2006/relationships/hyperlink" Target="https://www.weforum.org/publications/the-future-of-jobs-report-2025/" TargetMode="External"/><Relationship Id="rId19" Type="http://schemas.openxmlformats.org/officeDocument/2006/relationships/hyperlink" Target="https://www.shrm.org/topics-tools/news/employee-relations/ai-surveillance-in-the-workplace-linked-to-employee-resistance" TargetMode="External"/><Relationship Id="rId18" Type="http://schemas.openxmlformats.org/officeDocument/2006/relationships/hyperlink" Target="https://www.uclawsf.edu/2025/11/18/do-privacy-preserving-technologies-harm-workers-prof-seema-n-patel-unpacks-impacts-of-emerging-ai-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