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w:t>
      </w:r>
      <w:r w:rsidDel="00000000" w:rsidR="00000000" w:rsidRPr="00000000">
        <w:rPr>
          <w:rFonts w:ascii="Avenir" w:cs="Avenir" w:eastAsia="Avenir" w:hAnsi="Avenir"/>
          <w:b w:val="1"/>
          <w:bCs w:val="1"/>
          <w:color w:val="5b9bd5"/>
          <w:sz w:val="24"/>
          <w:szCs w:val="24"/>
          <w:rtl w:val="0"/>
        </w:rPr>
        <w:t xml:space="preserve">5) Hollowing Out Towns via Automation</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360" w:lineRule="auto"/>
        <w:rPr>
          <w:rFonts w:ascii="Avenir" w:cs="Avenir" w:eastAsia="Avenir" w:hAnsi="Avenir"/>
          <w:color w:val="3c3f42"/>
          <w:sz w:val="15"/>
          <w:szCs w:val="15"/>
        </w:rPr>
      </w:pPr>
      <w:r w:rsidDel="00000000" w:rsidR="00000000" w:rsidRPr="00000000">
        <w:rPr>
          <w:rFonts w:ascii="Avenir" w:cs="Avenir" w:eastAsia="Avenir" w:hAnsi="Avenir"/>
          <w:sz w:val="18"/>
          <w:szCs w:val="18"/>
          <w:rtl w:val="0"/>
        </w:rPr>
        <w:t xml:space="preserve">Severing the Link between the Factories and the Community that surrounds them</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For centuries, the model of industrial geography relied on physical proximity between factories and their workforces. The integration of AI in industrial settings suggests a restructuring of this dynamic. As these systems mature, operations are becoming increasingly capable of running on the physical floor with minimal human intervention. This change leads to a shift not only in the required skill sets, but also in their physical locations [1]. Highly automated facilities reduce the demand for localized manual labor and, in turn, create a need for people responsible for AI systems, such as data scientists and cybersecurity professionals [2]. </w:t>
      </w:r>
      <w:r w:rsidDel="00000000" w:rsidR="00000000" w:rsidRPr="00000000">
        <w:rPr>
          <w:rFonts w:ascii="Avenir" w:cs="Avenir" w:eastAsia="Avenir" w:hAnsi="Avenir"/>
          <w:color w:val="3c3f42"/>
          <w:sz w:val="14"/>
          <w:szCs w:val="14"/>
          <w:rtl w:val="0"/>
        </w:rPr>
        <w:t xml:space="preserve">These roles often manage operations via remote networks. Therefore, workers are increasingly becoming independent of the factory location</w:t>
      </w:r>
      <w:r w:rsidDel="00000000" w:rsidR="00000000" w:rsidRPr="00000000">
        <w:rPr>
          <w:rFonts w:ascii="Avenir" w:cs="Avenir" w:eastAsia="Avenir" w:hAnsi="Avenir"/>
          <w:color w:val="3c3f42"/>
          <w:sz w:val="14"/>
          <w:szCs w:val="14"/>
          <w:rtl w:val="0"/>
        </w:rPr>
        <w:t xml:space="preserve">.</w:t>
      </w:r>
      <w:r w:rsidDel="00000000" w:rsidR="00000000" w:rsidRPr="00000000">
        <w:rPr>
          <w:rFonts w:ascii="Avenir" w:cs="Avenir" w:eastAsia="Avenir" w:hAnsi="Avenir"/>
          <w:color w:val="3c3f42"/>
          <w:sz w:val="14"/>
          <w:szCs w:val="14"/>
          <w:rtl w:val="0"/>
        </w:rPr>
        <w:t xml:space="preserve"> Consequently, this dynamic risks depriving legacy industrial communities of their historical economic anchors, while potentially redirecting wealth and population growth towards concentrated technological centers [3,4,5]. Structural economic transition for these regions will become necessary to adapt and avoid the massive civic collapse historically seen in the US "Rust Belt" (formerly industrialized states facing manufacturing decline) [6,7].</w:t>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Facts</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A ten percentage-point drop in the manufacturing employment share is associated with roughly 9.5 fewer local amenities per 10,000 residents overall, with sizable declines across most service categories [8].</w:t>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Looking ahead, 44% of manufacturers plan to increase automation over the next five years to drive positive business outcomes [5].</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Reflecting the shift toward a decentralized workforce, 63% of manufacturing organizations now have hybrid or remote working programs in place [9].</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Every new high-tech job creates 4.9 new jobs in the surrounding area, with three of those positions available for individuals without college degrees</w:t>
      </w:r>
      <w:r w:rsidDel="00000000" w:rsidR="00000000" w:rsidRPr="00000000">
        <w:rPr>
          <w:rFonts w:ascii="Avenir" w:cs="Avenir" w:eastAsia="Avenir" w:hAnsi="Avenir"/>
          <w:color w:val="3c3f42"/>
          <w:sz w:val="14"/>
          <w:szCs w:val="14"/>
          <w:rtl w:val="0"/>
        </w:rPr>
        <w:t xml:space="preserve"> [10,19].</w:t>
      </w: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Key Drivers</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0E">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AI-driven automation can boost productivity by 2-3x and achieve 99% defect reduction, encouraging businesses to adopt autonomous manufacturing systems [11].</w:t>
      </w:r>
    </w:p>
    <w:p w:rsidR="00000000" w:rsidDel="00000000" w:rsidP="00000000" w:rsidRDefault="00000000" w:rsidRPr="00000000" w14:paraId="0000000F">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High-skill positions such as AI engineers and cybersecurity specialists are predominantly found in urban technology centers, which companies use to gain access to talent [12].</w:t>
      </w:r>
      <w:r w:rsidDel="00000000" w:rsidR="00000000" w:rsidRPr="00000000">
        <w:rPr>
          <w:rtl w:val="0"/>
        </w:rPr>
      </w:r>
    </w:p>
    <w:p w:rsidR="00000000" w:rsidDel="00000000" w:rsidP="00000000" w:rsidRDefault="00000000" w:rsidRPr="00000000" w14:paraId="00000010">
      <w:pPr>
        <w:numPr>
          <w:ilvl w:val="0"/>
          <w:numId w:val="2"/>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COVID-19 demonstrated that knowledge-based industrial roles can be performed remotely at scale, accelerating organizational acceptance of decentralized workforce models [13].</w:t>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Challenges</w:t>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Addressing the decline in taxpayers and residents in traditional industrial towns requires identifying new sources of income to sustain local infrastructure and services [14].</w:t>
      </w:r>
      <w:r w:rsidDel="00000000" w:rsidR="00000000" w:rsidRPr="00000000">
        <w:rPr>
          <w:rtl w:val="0"/>
        </w:rPr>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Many conventional industrial firms will find it challenging to compete with the compensation and stock options offered by large software companies in order to attract top urban talent [15].</w:t>
      </w:r>
      <w:r w:rsidDel="00000000" w:rsidR="00000000" w:rsidRPr="00000000">
        <w:rPr>
          <w:rtl w:val="0"/>
        </w:rPr>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When a city aligns itself with a company, like Stuttgart with Daimler, the factory gains a “social license” to operate. If the factory does not hire locally, this connection weakens, leading to potentially increased local backlash against environmental issues or complaints</w:t>
      </w:r>
      <w:r w:rsidDel="00000000" w:rsidR="00000000" w:rsidRPr="00000000">
        <w:rPr>
          <w:rFonts w:ascii="Avenir" w:cs="Avenir" w:eastAsia="Avenir" w:hAnsi="Avenir"/>
          <w:color w:val="3c3f42"/>
          <w:sz w:val="14"/>
          <w:szCs w:val="14"/>
          <w:rtl w:val="0"/>
        </w:rPr>
        <w:t xml:space="preserve"> [16].</w:t>
      </w:r>
      <w:r w:rsidDel="00000000" w:rsidR="00000000" w:rsidRPr="00000000">
        <w:rPr>
          <w:rtl w:val="0"/>
        </w:rPr>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Impact on Industrial AI</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4"/>
          <w:szCs w:val="14"/>
        </w:rPr>
      </w:pPr>
      <w:r w:rsidDel="00000000" w:rsidR="00000000" w:rsidRPr="00000000">
        <w:rPr>
          <w:rFonts w:ascii="Avenir" w:cs="Avenir" w:eastAsia="Avenir" w:hAnsi="Avenir"/>
          <w:color w:val="3c3f42"/>
          <w:sz w:val="14"/>
          <w:szCs w:val="14"/>
          <w:rtl w:val="0"/>
        </w:rPr>
        <w:t xml:space="preserve">While the integration of AI in industrial environments is still in its early stages, it has the potential to automate tasks on an unprecedented scale, leading to significant changes in the distribution of the industrial workforce across different regions.</w:t>
      </w:r>
      <w:r w:rsidDel="00000000" w:rsidR="00000000" w:rsidRPr="00000000">
        <w:rPr>
          <w:rFonts w:ascii="Avenir" w:cs="Avenir" w:eastAsia="Avenir" w:hAnsi="Avenir"/>
          <w:color w:val="3c3f42"/>
          <w:sz w:val="14"/>
          <w:szCs w:val="14"/>
          <w:rtl w:val="0"/>
        </w:rPr>
        <w:t xml:space="preserve"> When a facility shifts toward autonomous operations, the resulting job losses can weaken the surrounding town’s economy, reduce spending at local businesses, and contribute to population decline and lower civic engagement. This transition may also trigger political and labor resistance, depending on how quickly the local economy can adapt [17,18]. </w:t>
      </w: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4"/>
          <w:szCs w:val="14"/>
        </w:rPr>
      </w:pPr>
      <w:r w:rsidDel="00000000" w:rsidR="00000000" w:rsidRPr="00000000">
        <w:rPr>
          <w:rFonts w:ascii="Avenir" w:cs="Avenir" w:eastAsia="Avenir" w:hAnsi="Avenir"/>
          <w:b w:val="1"/>
          <w:bCs w:val="1"/>
          <w:color w:val="024ea2"/>
          <w:sz w:val="14"/>
          <w:szCs w:val="14"/>
          <w:rtl w:val="0"/>
        </w:rPr>
        <w:t xml:space="preserve">Sources:</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4"/>
          <w:szCs w:val="14"/>
        </w:rPr>
      </w:pPr>
      <w:r w:rsidDel="00000000" w:rsidR="00000000" w:rsidRPr="00000000">
        <w:rPr>
          <w:rtl w:val="0"/>
        </w:rPr>
      </w:r>
    </w:p>
    <w:p w:rsidR="00000000" w:rsidDel="00000000" w:rsidP="00000000" w:rsidRDefault="00000000" w:rsidRPr="00000000" w14:paraId="0000001D">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Ajuzieogu UC. </w:t>
      </w:r>
      <w:r w:rsidDel="00000000" w:rsidR="00000000" w:rsidRPr="00000000">
        <w:rPr>
          <w:rFonts w:ascii="Avenir" w:cs="Avenir" w:eastAsia="Avenir" w:hAnsi="Avenir"/>
          <w:i w:val="1"/>
          <w:iCs w:val="1"/>
          <w:color w:val="3c3f42"/>
          <w:sz w:val="14"/>
          <w:szCs w:val="14"/>
          <w:rtl w:val="0"/>
        </w:rPr>
        <w:t xml:space="preserve">The economic geography of AI: spatial distribution of benefits and costs.</w:t>
      </w:r>
      <w:r w:rsidDel="00000000" w:rsidR="00000000" w:rsidRPr="00000000">
        <w:rPr>
          <w:rFonts w:ascii="Avenir" w:cs="Avenir" w:eastAsia="Avenir" w:hAnsi="Avenir"/>
          <w:color w:val="3c3f42"/>
          <w:sz w:val="14"/>
          <w:szCs w:val="14"/>
          <w:rtl w:val="0"/>
        </w:rPr>
        <w:t xml:space="preserve"> Published May 2025. doi:10.13140/RG.2.2.25553.65122</w:t>
      </w:r>
      <w:r w:rsidDel="00000000" w:rsidR="00000000" w:rsidRPr="00000000">
        <w:rPr>
          <w:rtl w:val="0"/>
        </w:rPr>
      </w:r>
    </w:p>
    <w:p w:rsidR="00000000" w:rsidDel="00000000" w:rsidP="00000000" w:rsidRDefault="00000000" w:rsidRPr="00000000" w14:paraId="0000001E">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World Economic Forum. The future of jobs report 2025. Published January 7, 2025. Accessed March 3, 2026. </w:t>
      </w:r>
      <w:hyperlink r:id="rId6">
        <w:r w:rsidDel="00000000" w:rsidR="00000000" w:rsidRPr="00000000">
          <w:rPr>
            <w:rFonts w:ascii="Avenir" w:cs="Avenir" w:eastAsia="Avenir" w:hAnsi="Avenir"/>
            <w:color w:val="1155cc"/>
            <w:sz w:val="14"/>
            <w:szCs w:val="14"/>
            <w:u w:val="single"/>
            <w:rtl w:val="0"/>
          </w:rPr>
          <w:t xml:space="preserve">https://www.weforum.org/publications/the-future-of-jobs-report-2025/</w:t>
        </w:r>
      </w:hyperlink>
      <w:r w:rsidDel="00000000" w:rsidR="00000000" w:rsidRPr="00000000">
        <w:rPr>
          <w:rtl w:val="0"/>
        </w:rPr>
      </w:r>
    </w:p>
    <w:p w:rsidR="00000000" w:rsidDel="00000000" w:rsidP="00000000" w:rsidRDefault="00000000" w:rsidRPr="00000000" w14:paraId="0000001F">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Acemoglu D, Restrepo P. Robots and jobs: evidence from US labor markets. J Polit Econ. 2020;128(6):2188-2244. doi:10.1086/705716.</w:t>
      </w:r>
    </w:p>
    <w:p w:rsidR="00000000" w:rsidDel="00000000" w:rsidP="00000000" w:rsidRDefault="00000000" w:rsidRPr="00000000" w14:paraId="00000020">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Rockwell Automation. 9th Annual State of Smart Manufacturing Report. Rockwell Automation; 2024. Accessed March 3, 2026. </w:t>
      </w:r>
      <w:hyperlink r:id="rId7">
        <w:r w:rsidDel="00000000" w:rsidR="00000000" w:rsidRPr="00000000">
          <w:rPr>
            <w:rFonts w:ascii="Avenir" w:cs="Avenir" w:eastAsia="Avenir" w:hAnsi="Avenir"/>
            <w:color w:val="1155cc"/>
            <w:sz w:val="14"/>
            <w:szCs w:val="14"/>
            <w:u w:val="single"/>
            <w:rtl w:val="0"/>
          </w:rPr>
          <w:t xml:space="preserve">https://static1.squarespace.com/static/6500be7b90b0f770653f355f/t/6795342daf06ad7acfd19e1c/1737831499334/Rockwell+Automation+-+2024+9th+Annual+State+of+Manufacturing+Report.pdf</w:t>
        </w:r>
      </w:hyperlink>
      <w:r w:rsidDel="00000000" w:rsidR="00000000" w:rsidRPr="00000000">
        <w:rPr>
          <w:rtl w:val="0"/>
        </w:rPr>
      </w:r>
    </w:p>
    <w:p w:rsidR="00000000" w:rsidDel="00000000" w:rsidP="00000000" w:rsidRDefault="00000000" w:rsidRPr="00000000" w14:paraId="00000021">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Rockwell Automation. State of Smart Manufacturing Report 2025. Rockwell Automation; 2025. Accessed March 3, 2026. </w:t>
      </w:r>
      <w:hyperlink r:id="rId8">
        <w:r w:rsidDel="00000000" w:rsidR="00000000" w:rsidRPr="00000000">
          <w:rPr>
            <w:rFonts w:ascii="Avenir" w:cs="Avenir" w:eastAsia="Avenir" w:hAnsi="Avenir"/>
            <w:color w:val="1155cc"/>
            <w:sz w:val="14"/>
            <w:szCs w:val="14"/>
            <w:u w:val="single"/>
            <w:rtl w:val="0"/>
          </w:rPr>
          <w:t xml:space="preserve">https://www.rockwellautomation.com/content/dam/rockwell-automation/documents/pdf/campaigns/state-of-smart-2025-cpg/INFO-BR029C-EN-P.pdf</w:t>
        </w:r>
      </w:hyperlink>
      <w:r w:rsidDel="00000000" w:rsidR="00000000" w:rsidRPr="00000000">
        <w:rPr>
          <w:rtl w:val="0"/>
        </w:rPr>
      </w:r>
    </w:p>
    <w:p w:rsidR="00000000" w:rsidDel="00000000" w:rsidP="00000000" w:rsidRDefault="00000000" w:rsidRPr="00000000" w14:paraId="00000022">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right="8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Hartley DA. Urban Decline in Rust-belt Cities. </w:t>
      </w:r>
      <w:r w:rsidDel="00000000" w:rsidR="00000000" w:rsidRPr="00000000">
        <w:rPr>
          <w:rFonts w:ascii="Avenir" w:cs="Avenir" w:eastAsia="Avenir" w:hAnsi="Avenir"/>
          <w:i w:val="1"/>
          <w:iCs w:val="1"/>
          <w:color w:val="3c3f42"/>
          <w:sz w:val="14"/>
          <w:szCs w:val="14"/>
          <w:rtl w:val="0"/>
        </w:rPr>
        <w:t xml:space="preserve">EC (FRB Cleveland)</w:t>
      </w:r>
      <w:r w:rsidDel="00000000" w:rsidR="00000000" w:rsidRPr="00000000">
        <w:rPr>
          <w:rFonts w:ascii="Avenir" w:cs="Avenir" w:eastAsia="Avenir" w:hAnsi="Avenir"/>
          <w:color w:val="3c3f42"/>
          <w:sz w:val="14"/>
          <w:szCs w:val="14"/>
          <w:rtl w:val="0"/>
        </w:rPr>
        <w:t xml:space="preserve">. Published online May 20, 2013:1-6. doi:</w:t>
      </w:r>
      <w:hyperlink r:id="rId9">
        <w:r w:rsidDel="00000000" w:rsidR="00000000" w:rsidRPr="00000000">
          <w:rPr>
            <w:rFonts w:ascii="Avenir" w:cs="Avenir" w:eastAsia="Avenir" w:hAnsi="Avenir"/>
            <w:color w:val="1155cc"/>
            <w:sz w:val="14"/>
            <w:szCs w:val="14"/>
            <w:u w:val="single"/>
            <w:rtl w:val="0"/>
          </w:rPr>
          <w:t xml:space="preserve">10.26509/frbc-ec-201306</w:t>
        </w:r>
      </w:hyperlink>
      <w:r w:rsidDel="00000000" w:rsidR="00000000" w:rsidRPr="00000000">
        <w:rPr>
          <w:rtl w:val="0"/>
        </w:rPr>
      </w:r>
    </w:p>
    <w:p w:rsidR="00000000" w:rsidDel="00000000" w:rsidP="00000000" w:rsidRDefault="00000000" w:rsidRPr="00000000" w14:paraId="00000023">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right="80" w:hanging="360"/>
        <w:rPr>
          <w:rFonts w:ascii="Avenir" w:cs="Avenir" w:eastAsia="Avenir" w:hAnsi="Avenir"/>
          <w:sz w:val="14"/>
          <w:szCs w:val="14"/>
        </w:rPr>
      </w:pPr>
      <w:r w:rsidDel="00000000" w:rsidR="00000000" w:rsidRPr="00000000">
        <w:rPr>
          <w:rFonts w:ascii="Avenir" w:cs="Avenir" w:eastAsia="Avenir" w:hAnsi="Avenir"/>
          <w:color w:val="434343"/>
          <w:sz w:val="14"/>
          <w:szCs w:val="14"/>
          <w:rtl w:val="0"/>
        </w:rPr>
        <w:t xml:space="preserve">World Resources Institute. Germany: The Ruhr Region’s Pivot from Coal Mining to a Hub of Green Industry and Expertise. Published April 1, 2021. Accessed March 10, 2026. </w:t>
      </w:r>
      <w:hyperlink r:id="rId10">
        <w:r w:rsidDel="00000000" w:rsidR="00000000" w:rsidRPr="00000000">
          <w:rPr>
            <w:rFonts w:ascii="Avenir" w:cs="Avenir" w:eastAsia="Avenir" w:hAnsi="Avenir"/>
            <w:color w:val="1155cc"/>
            <w:sz w:val="14"/>
            <w:szCs w:val="14"/>
            <w:u w:val="single"/>
            <w:rtl w:val="0"/>
          </w:rPr>
          <w:t xml:space="preserve">https://www.wri.org/snapshots/germany-ruhr-regions-pivot-coal-mining-hub-green-industry-and-expertise</w:t>
        </w:r>
      </w:hyperlink>
      <w:r w:rsidDel="00000000" w:rsidR="00000000" w:rsidRPr="00000000">
        <w:rPr>
          <w:rtl w:val="0"/>
        </w:rPr>
      </w:r>
    </w:p>
    <w:p w:rsidR="00000000" w:rsidDel="00000000" w:rsidP="00000000" w:rsidRDefault="00000000" w:rsidRPr="00000000" w14:paraId="00000024">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Berland B, Tabellini M, Tricaud C. Left behind: The local effects of deindustrialization in France. Working paper, Harvard Business School; January 2026. Accessed March 3, 2026. </w:t>
      </w:r>
      <w:hyperlink r:id="rId11">
        <w:r w:rsidDel="00000000" w:rsidR="00000000" w:rsidRPr="00000000">
          <w:rPr>
            <w:rFonts w:ascii="Avenir" w:cs="Avenir" w:eastAsia="Avenir" w:hAnsi="Avenir"/>
            <w:color w:val="1155cc"/>
            <w:sz w:val="14"/>
            <w:szCs w:val="14"/>
            <w:u w:val="single"/>
            <w:rtl w:val="0"/>
          </w:rPr>
          <w:t xml:space="preserve">https://www.hbs.edu/ris/Publication%20Files/012026_BerlandTabelliniTricaud_efab3ac2-c1f0-4348-83a7-6e8070ee9f32.pdf</w:t>
        </w:r>
      </w:hyperlink>
      <w:r w:rsidDel="00000000" w:rsidR="00000000" w:rsidRPr="00000000">
        <w:rPr>
          <w:rtl w:val="0"/>
        </w:rPr>
      </w:r>
    </w:p>
    <w:p w:rsidR="00000000" w:rsidDel="00000000" w:rsidP="00000000" w:rsidRDefault="00000000" w:rsidRPr="00000000" w14:paraId="00000025">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right="80" w:hanging="360"/>
        <w:rPr>
          <w:rFonts w:ascii="Avenir" w:cs="Avenir" w:eastAsia="Avenir" w:hAnsi="Avenir"/>
          <w:sz w:val="14"/>
          <w:szCs w:val="14"/>
        </w:rPr>
      </w:pPr>
      <w:r w:rsidDel="00000000" w:rsidR="00000000" w:rsidRPr="00000000">
        <w:rPr>
          <w:rFonts w:ascii="Avenir" w:cs="Avenir" w:eastAsia="Avenir" w:hAnsi="Avenir"/>
          <w:color w:val="434343"/>
          <w:sz w:val="14"/>
          <w:szCs w:val="14"/>
          <w:rtl w:val="0"/>
        </w:rPr>
        <w:t xml:space="preserve">Accenture. Work in progress: The future of work depends on us. Published 2022. Accessed March 29, 2026. </w:t>
      </w:r>
      <w:r w:rsidDel="00000000" w:rsidR="00000000" w:rsidRPr="00000000">
        <w:rPr>
          <w:rFonts w:ascii="Avenir" w:cs="Avenir" w:eastAsia="Avenir" w:hAnsi="Avenir"/>
          <w:color w:val="4a86e8"/>
          <w:sz w:val="14"/>
          <w:szCs w:val="14"/>
          <w:u w:val="single"/>
          <w:rtl w:val="0"/>
        </w:rPr>
        <w:t xml:space="preserve">https://www.accenture.com/content/dam/accenture/final/capabilities/strategy-and-consulting/talent-and-organization/document/Accenture-Work-In-Progress-How-The-Future-Of-Work-Depends-On-Us.pdf</w:t>
      </w:r>
    </w:p>
    <w:p w:rsidR="00000000" w:rsidDel="00000000" w:rsidP="00000000" w:rsidRDefault="00000000" w:rsidRPr="00000000" w14:paraId="00000026">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right="80" w:hanging="360"/>
        <w:rPr>
          <w:rFonts w:ascii="Avenir" w:cs="Avenir" w:eastAsia="Avenir" w:hAnsi="Avenir"/>
          <w:sz w:val="14"/>
          <w:szCs w:val="14"/>
        </w:rPr>
      </w:pPr>
      <w:r w:rsidDel="00000000" w:rsidR="00000000" w:rsidRPr="00000000">
        <w:rPr>
          <w:rFonts w:ascii="Avenir" w:cs="Avenir" w:eastAsia="Avenir" w:hAnsi="Avenir"/>
          <w:color w:val="434343"/>
          <w:sz w:val="14"/>
          <w:szCs w:val="14"/>
          <w:rtl w:val="0"/>
        </w:rPr>
        <w:t xml:space="preserve">Avent R. The New Geography of Jobs. </w:t>
      </w:r>
      <w:r w:rsidDel="00000000" w:rsidR="00000000" w:rsidRPr="00000000">
        <w:rPr>
          <w:rFonts w:ascii="Avenir" w:cs="Avenir" w:eastAsia="Avenir" w:hAnsi="Avenir"/>
          <w:i w:val="1"/>
          <w:iCs w:val="1"/>
          <w:color w:val="434343"/>
          <w:sz w:val="14"/>
          <w:szCs w:val="14"/>
          <w:rtl w:val="0"/>
        </w:rPr>
        <w:t xml:space="preserve">Journal of Economic Geography</w:t>
      </w:r>
      <w:r w:rsidDel="00000000" w:rsidR="00000000" w:rsidRPr="00000000">
        <w:rPr>
          <w:rFonts w:ascii="Avenir" w:cs="Avenir" w:eastAsia="Avenir" w:hAnsi="Avenir"/>
          <w:color w:val="434343"/>
          <w:sz w:val="14"/>
          <w:szCs w:val="14"/>
          <w:rtl w:val="0"/>
        </w:rPr>
        <w:t xml:space="preserve">. 2014;14(1):224-225. doi:</w:t>
      </w:r>
      <w:hyperlink r:id="rId12">
        <w:r w:rsidDel="00000000" w:rsidR="00000000" w:rsidRPr="00000000">
          <w:rPr>
            <w:rFonts w:ascii="Avenir" w:cs="Avenir" w:eastAsia="Avenir" w:hAnsi="Avenir"/>
            <w:color w:val="1155cc"/>
            <w:sz w:val="14"/>
            <w:szCs w:val="14"/>
            <w:u w:val="single"/>
            <w:rtl w:val="0"/>
          </w:rPr>
          <w:t xml:space="preserve">10.1093/jeg/lbt016</w:t>
        </w:r>
      </w:hyperlink>
      <w:r w:rsidDel="00000000" w:rsidR="00000000" w:rsidRPr="00000000">
        <w:rPr>
          <w:rtl w:val="0"/>
        </w:rPr>
      </w:r>
    </w:p>
    <w:p w:rsidR="00000000" w:rsidDel="00000000" w:rsidP="00000000" w:rsidRDefault="00000000" w:rsidRPr="00000000" w14:paraId="00000027">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Bristol H, de Boer E, de Kroon D, Hou F, Shahani R, Torti F. How manufacturing's lighthouses are capturing the full value of AI. McKinsey &amp; Company; April 2024. Accessed March 29, 2026. https://www.mckinsey.com/capabilities/operations/our-insights/how-manufacturings-lighthouses-are-capturing-the-full-value-of-ai</w:t>
      </w:r>
    </w:p>
    <w:p w:rsidR="00000000" w:rsidDel="00000000" w:rsidP="00000000" w:rsidRDefault="00000000" w:rsidRPr="00000000" w14:paraId="00000028">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El-Komboz LA, Fackler T. Productivity Spillovers Among Knowledge Workers in Agglomerations: Evidence from Github. SSRN. Preprint posted online 2023. doi:10.2139/ssrn.4600283</w:t>
      </w:r>
    </w:p>
    <w:p w:rsidR="00000000" w:rsidDel="00000000" w:rsidP="00000000" w:rsidRDefault="00000000" w:rsidRPr="00000000" w14:paraId="00000029">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Bartik AW, Cullen ZB, Glaeser EL, Luca M, Stanton CT. The rise of remote work: Evidence on productivity and preferences from firm and worker surveys. J Econ Manag Strategy. 2024;33(1):15-56. doi:10.1111/jems.12535</w:t>
      </w:r>
    </w:p>
    <w:p w:rsidR="00000000" w:rsidDel="00000000" w:rsidP="00000000" w:rsidRDefault="00000000" w:rsidRPr="00000000" w14:paraId="0000002A">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Schackmar J, Fleschurz R, Pallagst K. The Role of Substitute Industries for Revitalizing Shrinking Cities. Sustainability. 2021;13(16):9250. doi:10.3390/su13169250</w:t>
      </w:r>
    </w:p>
    <w:p w:rsidR="00000000" w:rsidDel="00000000" w:rsidP="00000000" w:rsidRDefault="00000000" w:rsidRPr="00000000" w14:paraId="0000002B">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 Rietmann C. Digital pioneers in the periphery? Toward a typology of rural Hidden Champions in times of digitalization. Journal of Small Business &amp; Entrepreneurship. 2024;36(2):281-301. doi:10.1080/08276331.2021.1979909</w:t>
      </w:r>
    </w:p>
    <w:p w:rsidR="00000000" w:rsidDel="00000000" w:rsidP="00000000" w:rsidRDefault="00000000" w:rsidRPr="00000000" w14:paraId="0000002C">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Feng D, Liu Y, Ge Y. Social License to Operate for NIMBY Infrastructures: The Mechanism of the Four Components of Procedural Justice. Buildings. 2024;14(8):2465. doi:10.3390/buildings14082465</w:t>
      </w:r>
    </w:p>
    <w:p w:rsidR="00000000" w:rsidDel="00000000" w:rsidP="00000000" w:rsidRDefault="00000000" w:rsidRPr="00000000" w14:paraId="0000002D">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Layne R. Where Do Workers Go When the Robots Arrive? | Working Knowledge. Harvard Business School. April 6, 2020. Accessed March 29, 2026.</w:t>
      </w:r>
      <w:hyperlink r:id="rId13">
        <w:r w:rsidDel="00000000" w:rsidR="00000000" w:rsidRPr="00000000">
          <w:rPr>
            <w:rFonts w:ascii="Avenir" w:cs="Avenir" w:eastAsia="Avenir" w:hAnsi="Avenir"/>
            <w:color w:val="3c3f42"/>
            <w:sz w:val="14"/>
            <w:szCs w:val="14"/>
            <w:rtl w:val="0"/>
          </w:rPr>
          <w:t xml:space="preserve"> </w:t>
        </w:r>
      </w:hyperlink>
      <w:hyperlink r:id="rId14">
        <w:r w:rsidDel="00000000" w:rsidR="00000000" w:rsidRPr="00000000">
          <w:rPr>
            <w:rFonts w:ascii="Avenir" w:cs="Avenir" w:eastAsia="Avenir" w:hAnsi="Avenir"/>
            <w:color w:val="1155cc"/>
            <w:sz w:val="14"/>
            <w:szCs w:val="14"/>
            <w:u w:val="single"/>
            <w:rtl w:val="0"/>
          </w:rPr>
          <w:t xml:space="preserve">https://www.library.hbs.edu/working-knowledge/where-do-workers-go-when-robots-arrive</w:t>
        </w:r>
      </w:hyperlink>
      <w:r w:rsidDel="00000000" w:rsidR="00000000" w:rsidRPr="00000000">
        <w:rPr>
          <w:rtl w:val="0"/>
        </w:rPr>
      </w:r>
    </w:p>
    <w:p w:rsidR="00000000" w:rsidDel="00000000" w:rsidP="00000000" w:rsidRDefault="00000000" w:rsidRPr="00000000" w14:paraId="0000002E">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4"/>
          <w:szCs w:val="14"/>
        </w:rPr>
      </w:pPr>
      <w:r w:rsidDel="00000000" w:rsidR="00000000" w:rsidRPr="00000000">
        <w:rPr>
          <w:rFonts w:ascii="Avenir" w:cs="Avenir" w:eastAsia="Avenir" w:hAnsi="Avenir"/>
          <w:color w:val="3c3f42"/>
          <w:sz w:val="14"/>
          <w:szCs w:val="14"/>
          <w:rtl w:val="0"/>
        </w:rPr>
        <w:t xml:space="preserve">Muro M. Countering the geographical impacts of automation: Computers, AI, and place disparities. Brookings. February 14, 2019. Accessed March 29, 2026.</w:t>
      </w:r>
      <w:hyperlink r:id="rId15">
        <w:r w:rsidDel="00000000" w:rsidR="00000000" w:rsidRPr="00000000">
          <w:rPr>
            <w:rFonts w:ascii="Avenir" w:cs="Avenir" w:eastAsia="Avenir" w:hAnsi="Avenir"/>
            <w:color w:val="3c3f42"/>
            <w:sz w:val="14"/>
            <w:szCs w:val="14"/>
            <w:rtl w:val="0"/>
          </w:rPr>
          <w:t xml:space="preserve"> </w:t>
        </w:r>
      </w:hyperlink>
      <w:hyperlink r:id="rId16">
        <w:r w:rsidDel="00000000" w:rsidR="00000000" w:rsidRPr="00000000">
          <w:rPr>
            <w:rFonts w:ascii="Avenir" w:cs="Avenir" w:eastAsia="Avenir" w:hAnsi="Avenir"/>
            <w:color w:val="1155cc"/>
            <w:sz w:val="14"/>
            <w:szCs w:val="14"/>
            <w:u w:val="single"/>
            <w:rtl w:val="0"/>
          </w:rPr>
          <w:t xml:space="preserve">https://www.brookings.edu/articles/countering-the-geographical-impacts-of-automation-computers-ai-and-place-disparities/</w:t>
        </w:r>
      </w:hyperlink>
      <w:r w:rsidDel="00000000" w:rsidR="00000000" w:rsidRPr="00000000">
        <w:rPr>
          <w:rtl w:val="0"/>
        </w:rPr>
      </w:r>
    </w:p>
    <w:p w:rsidR="00000000" w:rsidDel="00000000" w:rsidP="00000000" w:rsidRDefault="00000000" w:rsidRPr="00000000" w14:paraId="0000002F">
      <w:pPr>
        <w:numPr>
          <w:ilvl w:val="0"/>
          <w:numId w:val="4"/>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sz w:val="14"/>
          <w:szCs w:val="14"/>
        </w:rPr>
      </w:pPr>
      <w:r w:rsidDel="00000000" w:rsidR="00000000" w:rsidRPr="00000000">
        <w:rPr>
          <w:rFonts w:ascii="Avenir" w:cs="Avenir" w:eastAsia="Avenir" w:hAnsi="Avenir"/>
          <w:sz w:val="14"/>
          <w:szCs w:val="14"/>
          <w:rtl w:val="0"/>
        </w:rPr>
        <w:t xml:space="preserve"> Moretti E. Local Multipliers. American Economic Review. 2010;100(2):373-377. doi:10.1257/aer.100.2.373</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www.hbs.edu/ris/Publication%20Files/012026_BerlandTabelliniTricaud_efab3ac2-c1f0-4348-83a7-6e8070ee9f32.pdf" TargetMode="External"/><Relationship Id="rId10" Type="http://schemas.openxmlformats.org/officeDocument/2006/relationships/hyperlink" Target="https://www.wri.org/snapshots/germany-ruhr-regions-pivot-coal-mining-hub-green-industry-and-expertise" TargetMode="External"/><Relationship Id="rId13" Type="http://schemas.openxmlformats.org/officeDocument/2006/relationships/hyperlink" Target="https://www.library.hbs.edu/working-knowledge/where-do-workers-go-when-robots-arrive" TargetMode="External"/><Relationship Id="rId12" Type="http://schemas.openxmlformats.org/officeDocument/2006/relationships/hyperlink" Target="https://doi.org/10.1093/jeg/lbt016"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26509/frbc-ec-201306" TargetMode="External"/><Relationship Id="rId15" Type="http://schemas.openxmlformats.org/officeDocument/2006/relationships/hyperlink" Target="https://www.brookings.edu/articles/countering-the-geographical-impacts-of-automation-computers-ai-and-place-disparities/" TargetMode="External"/><Relationship Id="rId14" Type="http://schemas.openxmlformats.org/officeDocument/2006/relationships/hyperlink" Target="https://www.library.hbs.edu/working-knowledge/where-do-workers-go-when-robots-arrive" TargetMode="External"/><Relationship Id="rId16" Type="http://schemas.openxmlformats.org/officeDocument/2006/relationships/hyperlink" Target="https://www.brookings.edu/articles/countering-the-geographical-impacts-of-automation-computers-ai-and-place-disparities/" TargetMode="External"/><Relationship Id="rId5" Type="http://schemas.openxmlformats.org/officeDocument/2006/relationships/styles" Target="styles.xml"/><Relationship Id="rId6" Type="http://schemas.openxmlformats.org/officeDocument/2006/relationships/hyperlink" Target="https://www.weforum.org/publications/the-future-of-jobs-report-2025/" TargetMode="External"/><Relationship Id="rId7" Type="http://schemas.openxmlformats.org/officeDocument/2006/relationships/hyperlink" Target="https://static1.squarespace.com/static/6500be7b90b0f770653f355f/t/6795342daf06ad7acfd19e1c/1737831499334/Rockwell+Automation+-+2024+9th+Annual+State+of+Manufacturing+Report.pdf" TargetMode="External"/><Relationship Id="rId8" Type="http://schemas.openxmlformats.org/officeDocument/2006/relationships/hyperlink" Target="https://www.rockwellautomation.com/content/dam/rockwell-automation/documents/pdf/campaigns/state-of-smart-2025-cpg/INFO-BR029C-EN-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