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200" w:before="0" w:line="240" w:lineRule="auto"/>
        <w:jc w:val="both"/>
        <w:rPr>
          <w:rFonts w:ascii="Avenir" w:cs="Avenir" w:eastAsia="Avenir" w:hAnsi="Avenir"/>
          <w:b w:val="1"/>
          <w:bCs w:val="1"/>
          <w:color w:val="5b9bd5"/>
          <w:sz w:val="24"/>
          <w:szCs w:val="24"/>
        </w:rPr>
      </w:pPr>
      <w:bookmarkStart w:colFirst="0" w:colLast="0" w:name="_pfxtqo66ilrz" w:id="0"/>
      <w:bookmarkEnd w:id="0"/>
      <w:r w:rsidDel="00000000" w:rsidR="00000000" w:rsidRPr="00000000">
        <w:rPr>
          <w:rFonts w:ascii="Avenir" w:cs="Avenir" w:eastAsia="Avenir" w:hAnsi="Avenir"/>
          <w:b w:val="1"/>
          <w:bCs w:val="1"/>
          <w:color w:val="5b9bd5"/>
          <w:sz w:val="24"/>
          <w:szCs w:val="24"/>
          <w:rtl w:val="0"/>
        </w:rPr>
        <w:t xml:space="preserve">Societal Trends</w:t>
      </w:r>
    </w:p>
    <w:p w:rsidR="00000000" w:rsidDel="00000000" w:rsidP="00000000" w:rsidRDefault="00000000" w:rsidRPr="00000000" w14:paraId="00000002">
      <w:pPr>
        <w:rPr/>
      </w:pPr>
      <w:r w:rsidDel="00000000" w:rsidR="00000000" w:rsidRPr="00000000">
        <w:rPr>
          <w:rtl w:val="0"/>
        </w:rPr>
        <w:t xml:space="preserve">The Transformation of People, Skills, and Places in the Age of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industrial AI matures technologically, its real-world impact will increasingly hinge on societal readiness. In the following, three dimensions shaping that readiness are explored. These range from trust between humans and autonomous systems, through a generational transition in the industrial workforce, to the race between technological change and skills adaptation.</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Scaling AI in industrial environments depends on calibrated trust, which is no longer a soft cultural factor but a measurable system property that must be achieved on cognitive, emotional, and institutional levels [2]. However, this foundation is frequently undermined when surveillance tools meant to improve safety also create opacity, leading to worker dissatisfaction and performative productivity [3]. At the same time, the role of the industrial worker is shifting from manual execution to supervisory orchestration. As agentic AI systems, projected to grow at a 25% CAGR through 2030, begin to autonomously analyze data and adjust parameters, workers are transitioning into roles that resemble air-traffic control, intervening primarily in rare, complex situations that make their work more strategic yet more demanding [4,5]. Collaborative robots (Cobots), growing at more than 30% per year, are accelerating this transition by placing autonomous systems directly alongside human operators on the factory floor [6].</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critical challenge in this transition is preserving the tacit knowledge embedded in experienced workers. With 13.4M people in Germany alone reaching retirement age within the next 15 years, and an estimated 1.9M manufacturing roles at risk of going unfilled by 2033, companies face the loss of decades of accumulated expertise [7,8]. AI is being leveraged to digitize this tribal knowledge, shifting knowledge flows from senior-to-junior transmission toward system-mediated access [9]. Simultaneously, rapid technological change is widening the industrial skills divide. Employers expect 39% of workers' core skills to change by 2030, creating an urgent need for continuous reskilling [10]. Without large-scale intervention, the workforce risks fragmenting into highly skilled technical specialists and routine workers displaced by automation, potentially pushing critical expertise toward platform-mediated or gig-based labor models </w:t>
      </w:r>
      <w:r w:rsidDel="00000000" w:rsidR="00000000" w:rsidRPr="00000000">
        <w:rPr>
          <w:rFonts w:ascii="Avenir" w:cs="Avenir" w:eastAsia="Avenir" w:hAnsi="Avenir"/>
          <w:color w:val="3c3f42"/>
          <w:sz w:val="15"/>
          <w:szCs w:val="15"/>
          <w:rtl w:val="0"/>
        </w:rPr>
        <w:t xml:space="preserve">[11</w:t>
      </w:r>
      <w:r w:rsidDel="00000000" w:rsidR="00000000" w:rsidRPr="00000000">
        <w:rPr>
          <w:rFonts w:ascii="Avenir" w:cs="Avenir" w:eastAsia="Avenir" w:hAnsi="Avenir"/>
          <w:color w:val="3c3f42"/>
          <w:sz w:val="15"/>
          <w:szCs w:val="15"/>
          <w:rtl w:val="0"/>
        </w:rPr>
        <w:t xml:space="preserve">,12].</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Lastly, the maturation of AI is decoupling production from local populations. As factories become capable of running with minimal human intervention, high-skill roles increasingly manage operations via remote networks. A ten-percentage-point drop in manufacturing employment share is associated with roughly 9.5 fewer local amenities per 10,000 residents, illustrating the cascading community effects of this shift [13]. This geographic reorganization risks depriving legacy industrial communities of their economic anchors while concentrating growth in urban technological centers [14,15]. This report examines five converging societal trends that will shape how industrial AI transforms not just production systems but the people and places that depend on them.</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color w:val="0e101a"/>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 Dummy Citation to fix pipeline. Agentic artificial intelligence in manufacturing and industrial automation market. Mordor Intelligence. 2025. Accessed March 2, 2026. https://www.mordorintelligence.com/industry-reports/agentic-artificial-intelligence-in-manufacturing-and-industrial-automation-market</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commentRangeStart w:id="0"/>
      <w:r w:rsidDel="00000000" w:rsidR="00000000" w:rsidRPr="00000000">
        <w:rPr>
          <w:rFonts w:ascii="Avenir" w:cs="Avenir" w:eastAsia="Avenir" w:hAnsi="Avenir"/>
          <w:color w:val="0e101a"/>
          <w:sz w:val="15"/>
          <w:szCs w:val="15"/>
          <w:rtl w:val="0"/>
        </w:rPr>
        <w:t xml:space="preserve">[2] Jang M. Building trust in AI: the role of technical capacity, social risk, and corporate institutional accountability. Information. 2026;17(2):212. doi:10.3390/info17020212. Accessed March 6, 2026. </w:t>
      </w:r>
      <w:r w:rsidDel="00000000" w:rsidR="00000000" w:rsidRPr="00000000">
        <w:rPr>
          <w:rFonts w:ascii="Avenir" w:cs="Avenir" w:eastAsia="Avenir" w:hAnsi="Avenir"/>
          <w:color w:val="0e101a"/>
          <w:sz w:val="15"/>
          <w:szCs w:val="15"/>
          <w:rtl w:val="0"/>
        </w:rPr>
        <w:t xml:space="preserve">https://www.mdpi.com/2078-2489/17/2/212</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[3] Global Institute for Human Rights Research. Redefining productivity in the age of workplace surveillance. Human Rights Research. Published July 29, 2024. Accessed March 6, 2026. </w:t>
      </w:r>
      <w:r w:rsidDel="00000000" w:rsidR="00000000" w:rsidRPr="00000000">
        <w:rPr>
          <w:rFonts w:ascii="Avenir" w:cs="Avenir" w:eastAsia="Avenir" w:hAnsi="Avenir"/>
          <w:color w:val="0e101a"/>
          <w:sz w:val="15"/>
          <w:szCs w:val="15"/>
          <w:rtl w:val="0"/>
        </w:rPr>
        <w:t xml:space="preserve">https://www.humanrightsresearch.org/post/redefining-productivity-in-the-age-of-workplace-surveillance</w:t>
      </w: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Mordor Intelligence. Agentic AI in manufacturing and industrial automation market size &amp; share analysis - growth trends &amp; forecasts (2025 - 2030). Published March 31, 2026. Accessed March 31, 2026. https://www.mordorintelligence.com/industry-reports/agentic-artificial-intelligence-in-manufacturing-and-industrial-automation-market</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[5] Bainbridge L. Ironies of automation. Automatica. 1983;19(6):775-779. doi:10.1016/0005-1098(83)90046-8</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[6] Financial Times. Iran war prompts foreign central banks to sell US Treasuries. Published March 30, 2026. Accessed March 31, 2026. https://www.ft.com/content/78c1d4e9-ad30-47f5-ab7b-390df5bc1f10 </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[7] Statistisches Bundesamt (Destatis). 13.4 Millionen Erwerbspersonen erreichen in den nachsten 15 Jahren das gesetzliche Rentenalter. Published September 3, 2025. Accessed March 9, 2026. </w:t>
      </w:r>
      <w:r w:rsidDel="00000000" w:rsidR="00000000" w:rsidRPr="00000000">
        <w:rPr>
          <w:rFonts w:ascii="Avenir" w:cs="Avenir" w:eastAsia="Avenir" w:hAnsi="Avenir"/>
          <w:color w:val="0e101a"/>
          <w:sz w:val="15"/>
          <w:szCs w:val="15"/>
          <w:rtl w:val="0"/>
        </w:rPr>
        <w:t xml:space="preserve">https://www.destatis.de/DE/Presse/Pressemitteilungen/2025/08/PD25_N048_13.html</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[8] Coykendall J, Hardin K, Morehouse J, et al. Taking charge: Manufacturers support growth with active workforce strategies. Deloitte Insights. Published April 3, 2024. Accessed March 9, 2026. </w:t>
      </w:r>
      <w:r w:rsidDel="00000000" w:rsidR="00000000" w:rsidRPr="00000000">
        <w:rPr>
          <w:rFonts w:ascii="Avenir" w:cs="Avenir" w:eastAsia="Avenir" w:hAnsi="Avenir"/>
          <w:color w:val="0e101a"/>
          <w:sz w:val="15"/>
          <w:szCs w:val="15"/>
          <w:rtl w:val="0"/>
        </w:rPr>
        <w:t xml:space="preserve">https://www.deloitte.com/us/en/insights/industry/manufacturing/supporting-us-manufacturing-growth-amid-workforce-challenges.html</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[9] Krause F, Paulheim H, Kiesling E, et al. Managing human-AI collaborations within Industry 5.0 scenarios via knowledge graphs: Key challenges and lessons learned. Frontiers in Artificial Intelligence. 2024;7:1247712. doi:10.3389/frai.2024.1247712</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[10] World Economic Forum. The Future of Jobs Report 2025. World Economic Forum; 2025. Accessed March 28, 2026. </w:t>
      </w:r>
      <w:r w:rsidDel="00000000" w:rsidR="00000000" w:rsidRPr="00000000">
        <w:rPr>
          <w:rFonts w:ascii="Avenir" w:cs="Avenir" w:eastAsia="Avenir" w:hAnsi="Avenir"/>
          <w:color w:val="0e101a"/>
          <w:sz w:val="15"/>
          <w:szCs w:val="15"/>
          <w:rtl w:val="0"/>
        </w:rPr>
        <w:t xml:space="preserve">https://reports.weforum.org/docs/WEF_Future_of_Jobs_Report_2025.pdf</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[11] </w:t>
      </w:r>
      <w:r w:rsidDel="00000000" w:rsidR="00000000" w:rsidRPr="00000000">
        <w:rPr>
          <w:rFonts w:ascii="Avenir" w:cs="Avenir" w:eastAsia="Avenir" w:hAnsi="Avenir"/>
          <w:color w:val="0e101a"/>
          <w:sz w:val="15"/>
          <w:szCs w:val="15"/>
          <w:rtl w:val="0"/>
        </w:rPr>
        <w:t xml:space="preserve">Acemoglu D, Restrepo P. Automation and polarization. National Bureau of Economic Research; 2022. doi:10.3386/w30528</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[12] Guo Q, Liu X, Li S. Manufacturing workers or platform gig workers? The impact of digital transformation in manufacturing and service sectors on job quality and labor allocation. Journal of Digital Economy. 2025;4:72-94. doi:10.1016/j.jdec.2025.06.003</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[13] Berland B, Tabellini M, Tricaud C. Left behind: The local effects of deindustrialization in France. Working paper, Harvard Business School; January 2026. Accessed March 3, 2026. </w:t>
      </w:r>
      <w:r w:rsidDel="00000000" w:rsidR="00000000" w:rsidRPr="00000000">
        <w:rPr>
          <w:rFonts w:ascii="Avenir" w:cs="Avenir" w:eastAsia="Avenir" w:hAnsi="Avenir"/>
          <w:color w:val="0e101a"/>
          <w:sz w:val="15"/>
          <w:szCs w:val="15"/>
          <w:rtl w:val="0"/>
        </w:rPr>
        <w:t xml:space="preserve">https://www.hbs.edu/ris/Publication%20Files/012026_BerlandTabelliniTricaud_efab3ac2-c1f0-4348-83a7-6e8070ee9f32.pdf</w:t>
      </w: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[14] Ajuzieogu UC. The economic geography of AI: spatial distribution of benefits and costs. ResearchGate. Published May 2025. Accessed March 28, 2026. </w:t>
      </w:r>
      <w:r w:rsidDel="00000000" w:rsidR="00000000" w:rsidRPr="00000000">
        <w:rPr>
          <w:rFonts w:ascii="Avenir" w:cs="Avenir" w:eastAsia="Avenir" w:hAnsi="Avenir"/>
          <w:color w:val="0e101a"/>
          <w:sz w:val="15"/>
          <w:szCs w:val="15"/>
          <w:rtl w:val="0"/>
        </w:rPr>
        <w:t xml:space="preserve">https://www.researchgate.net/publication/391430918</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[15] Muro M, Liu S. The geography of AI: which cities will drive the artificial intelligence revolution? Brookings Institution; 2021. Accessed March 28, 2026. </w:t>
      </w:r>
      <w:r w:rsidDel="00000000" w:rsidR="00000000" w:rsidRPr="00000000">
        <w:rPr>
          <w:rFonts w:ascii="Avenir" w:cs="Avenir" w:eastAsia="Avenir" w:hAnsi="Avenir"/>
          <w:color w:val="0e101a"/>
          <w:sz w:val="15"/>
          <w:szCs w:val="15"/>
          <w:rtl w:val="0"/>
        </w:rPr>
        <w:t xml:space="preserve">https://www.brookings.edu/wp-content/uploads/2021/08/AI-report_Full.pdf</w:t>
      </w: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360" w:lineRule="auto"/>
        <w:jc w:val="both"/>
        <w:rPr>
          <w:rFonts w:ascii="Avenir" w:cs="Avenir" w:eastAsia="Avenir" w:hAnsi="Avenir"/>
          <w:b w:val="1"/>
          <w:bCs w:val="1"/>
          <w:color w:val="3c3f42"/>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rrish Agarwalla" w:id="0" w:date="2026-03-31T14:24:30Z">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Citation is starting with [2], this breaks the whole pipeline.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