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0" w:firstLine="0"/>
        <w:jc w:val="both"/>
        <w:rPr>
          <w:rFonts w:ascii="Avenir" w:cs="Avenir" w:eastAsia="Avenir" w:hAnsi="Avenir"/>
          <w:b w:val="1"/>
          <w:bCs w:val="1"/>
          <w:color w:val="5b9bd5"/>
          <w:sz w:val="24"/>
          <w:szCs w:val="24"/>
        </w:rPr>
      </w:pPr>
      <w:bookmarkStart w:colFirst="0" w:colLast="0" w:name="_fbhx3pta7602" w:id="0"/>
      <w:bookmarkEnd w:id="0"/>
      <w:r w:rsidDel="00000000" w:rsidR="00000000" w:rsidRPr="00000000">
        <w:rPr>
          <w:rFonts w:ascii="Avenir" w:cs="Avenir" w:eastAsia="Avenir" w:hAnsi="Avenir"/>
          <w:b w:val="1"/>
          <w:bCs w:val="1"/>
          <w:color w:val="5b9bd5"/>
          <w:sz w:val="24"/>
          <w:szCs w:val="24"/>
          <w:rtl w:val="0"/>
        </w:rPr>
        <w:t xml:space="preserve">Enabling Real-Time </w:t>
      </w:r>
      <w:commentRangeStart w:id="0"/>
      <w:commentRangeStart w:id="1"/>
      <w:commentRangeStart w:id="2"/>
      <w:commentRangeStart w:id="3"/>
      <w:commentRangeStart w:id="4"/>
      <w:r w:rsidDel="00000000" w:rsidR="00000000" w:rsidRPr="00000000">
        <w:rPr>
          <w:rFonts w:ascii="Avenir" w:cs="Avenir" w:eastAsia="Avenir" w:hAnsi="Avenir"/>
          <w:b w:val="1"/>
          <w:bCs w:val="1"/>
          <w:color w:val="5b9bd5"/>
          <w:sz w:val="24"/>
          <w:szCs w:val="24"/>
          <w:rtl w:val="0"/>
        </w:rPr>
        <w:t xml:space="preserve">Inference</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Proximity and Hardware Architecture for Time-Sensitive Industrial Applications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Processing data on factory-floor hardware rather than remote servers reduces latency and keeps proprietary production data on premises [1]. In collaborative robot-human environments, any delay between sensing and action directly reduces the safety margin [12]. Safety-critical processes, such as real-time cobot collision avoidance, therefore must meet certain response time thresholds [13]. Meeting these thresholds on-premises requires hardware that combines relatively fast computation with high energy efficiency. Established semiconductor hardware increasingly struggles to satisfy this, which is driving development beyond conventional silicon [14]. Novel processor architectures exploit fundamentally different physical mechanisms to achieve higher efficiency [3,4]. Neuromorphic processors, which take inspiration from the biological brain, deliver up to 100 times higher energy efficiency and 50 times higher speed than conventional processor architectures for inference tasks [3]. Photonic computing takes a different approach, using light instead of electrons to achieve inference at 29 femtojoules per operation and speeds more than 100 times faster than leading Nvidia processors for generative AI workloads [4,15]</w:t>
      </w:r>
      <w:commentRangeStart w:id="5"/>
      <w:r w:rsidDel="00000000" w:rsidR="00000000" w:rsidRPr="00000000">
        <w:rPr>
          <w:rFonts w:ascii="Avenir" w:cs="Avenir" w:eastAsia="Avenir" w:hAnsi="Avenir"/>
          <w:color w:val="3c3f42"/>
          <w:sz w:val="15"/>
          <w:szCs w:val="15"/>
          <w:rtl w:val="0"/>
        </w:rPr>
        <w:t xml:space="preserve">.</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Because transmission of information cannot exceed the speed of light, centralized clouds face a physical minimum latency, making data proximity a strict constraint for latency-critical applications [2,5].</w:t>
      </w:r>
      <w:r w:rsidDel="00000000" w:rsidR="00000000" w:rsidRPr="00000000">
        <w:rPr>
          <w:rtl w:val="0"/>
        </w:rPr>
      </w:r>
    </w:p>
    <w:p w:rsidR="00000000" w:rsidDel="00000000" w:rsidP="00000000" w:rsidRDefault="00000000" w:rsidRPr="00000000" w14:paraId="00000006">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European Union (EU) data sovereignty regulations also favor on-premises processing. GDPR carries fines up to 20M EUR or 4% of turnover, the Data Act mandates machine-readable access for switching between services, and the AI Act classifies safety-component AI as high-risk [6,16,17]. </w:t>
      </w:r>
      <w:r w:rsidDel="00000000" w:rsidR="00000000" w:rsidRPr="00000000">
        <w:rPr>
          <w:rtl w:val="0"/>
        </w:rPr>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Global robotics investments grew 230% between 2019 and 2024 and are projected to surpass 100B USD by 2030, accelerating demand for on-premises inference [7].</w:t>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AI applications such as autonomous mobile robots and real-time quality control often operate under strict latency constraints for which on-premises compute is structurally well-suited [13].</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human-robot collaboration scales globally [7], each new installation adds a latency-sensitive system to the factory floor, directly expanding demand for local compute infrastructure [12].</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Manufacturers deploying AI in safety-critical manufacturing steps face direct legal accountability under the AI Act and General Data Protection Regulation (GDPR), creating structural pressure to retain data processing within controlled on-premises infrastructure [6].</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7"/>
          <w:szCs w:val="17"/>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afterAutospacing="0" w:before="300"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Cybersecurity exposure is acute, with 52% of industrial companies having experienced cyberattacks involving operational technology or Internet of Things (IoT) devices. Yet only 40% offer regular cybersecurity training, and 60% rate their budget as inadequate. [8]</w:t>
      </w: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Legacy system integration remains difficult because more than 70% of North American factory machinery exceeds 20 years of age, and most equipment predates digital interfaces [9,18].</w:t>
      </w:r>
      <w:r w:rsidDel="00000000" w:rsidR="00000000" w:rsidRPr="00000000">
        <w:rPr>
          <w:rtl w:val="0"/>
        </w:rPr>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Distributing AI inference across factory-floor hardware expands the attack surface, making industrial systems more vulnerable to both physical and network-based threats [10].</w:t>
      </w: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6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On-premises AI inference enables the millisecond-level response times that quality inspection, predictive maintenance, and real-time robot coordination require. Cloud architectures face a structural latency floor from data transmission distances [5], which on-premises compute eliminates by processing data at its source [1]. Furthermore, local inference reaches settings where cloud connectivity is structurally unavailable [1], such as offshore platforms, deep-sea operations, and mining. Novel hardware like neuromorphic and photonic processors achieves significant energy reductions at high computation speed</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 xml:space="preserve">[3,4,11].</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[1] Shi W, Cao J, Zhang Q, Li Y, Xu L. Edge computing: vision and challenges. </w:t>
      </w:r>
      <w:r w:rsidDel="00000000" w:rsidR="00000000" w:rsidRPr="00000000">
        <w:rPr>
          <w:rFonts w:ascii="Avenir" w:cs="Avenir" w:eastAsia="Avenir" w:hAnsi="Avenir"/>
          <w:i w:val="1"/>
          <w:iCs w:val="1"/>
          <w:color w:val="3c3f42"/>
          <w:sz w:val="15"/>
          <w:szCs w:val="15"/>
          <w:rtl w:val="0"/>
        </w:rPr>
        <w:t xml:space="preserve">IEEE Internet Things J</w:t>
      </w:r>
      <w:r w:rsidDel="00000000" w:rsidR="00000000" w:rsidRPr="00000000">
        <w:rPr>
          <w:rFonts w:ascii="Avenir" w:cs="Avenir" w:eastAsia="Avenir" w:hAnsi="Avenir"/>
          <w:color w:val="3c3f42"/>
          <w:sz w:val="15"/>
          <w:szCs w:val="15"/>
          <w:rtl w:val="0"/>
        </w:rPr>
        <w:t xml:space="preserve">. 2016;3(5):637-646. doi:10.1109/JIOT.2016.2579198</w:t>
      </w: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[2] Ericsson. Realizing time-critical communication with 5G. Ericsson. Published October 2021. Accessed March 1, 2026. </w:t>
      </w:r>
      <w:r w:rsidDel="00000000" w:rsidR="00000000" w:rsidRPr="00000000">
        <w:rPr>
          <w:rFonts w:ascii="Avenir" w:cs="Avenir" w:eastAsia="Avenir" w:hAnsi="Avenir"/>
          <w:color w:val="3c3f42"/>
          <w:sz w:val="15"/>
          <w:szCs w:val="15"/>
          <w:rtl w:val="0"/>
        </w:rPr>
        <w:t xml:space="preserve">https://www.ericsson.com/en/blog/2021/10/realizing-time-critical-communication-with-5g</w:t>
      </w: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[3] Intel Corporation. Intel builds world’s largest neuromorphic system to enable more sustainable AI. Intel Newsroom. Published 2024. Accessed March 1, 2026. </w:t>
      </w:r>
      <w:r w:rsidDel="00000000" w:rsidR="00000000" w:rsidRPr="00000000">
        <w:rPr>
          <w:rFonts w:ascii="Avenir" w:cs="Avenir" w:eastAsia="Avenir" w:hAnsi="Avenir"/>
          <w:color w:val="3c3f42"/>
          <w:sz w:val="15"/>
          <w:szCs w:val="15"/>
          <w:rtl w:val="0"/>
        </w:rPr>
        <w:t xml:space="preserve">https://newsroom.intel.com/artificial-intelligence/intel-builds-worlds-largest-neuromorphic-system-to-enable-more-sustainable-ai</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[4]</w:t>
      </w:r>
      <w:r w:rsidDel="00000000" w:rsidR="00000000" w:rsidRPr="00000000">
        <w:rPr>
          <w:rFonts w:ascii="Avenir" w:cs="Avenir" w:eastAsia="Avenir" w:hAnsi="Avenir"/>
          <w:color w:val="3c3f42"/>
          <w:sz w:val="15"/>
          <w:szCs w:val="15"/>
          <w:rtl w:val="0"/>
        </w:rPr>
        <w:t xml:space="preserve">  Zhang S, Jiang X, Wu B, et al. Photonic edge intelligence chip for multi-modal sensing, inference and learning. </w:t>
      </w:r>
      <w:r w:rsidDel="00000000" w:rsidR="00000000" w:rsidRPr="00000000">
        <w:rPr>
          <w:rFonts w:ascii="Avenir" w:cs="Avenir" w:eastAsia="Avenir" w:hAnsi="Avenir"/>
          <w:i w:val="1"/>
          <w:iCs w:val="1"/>
          <w:color w:val="3c3f42"/>
          <w:sz w:val="15"/>
          <w:szCs w:val="15"/>
          <w:rtl w:val="0"/>
        </w:rPr>
        <w:t xml:space="preserve">Nat Commun</w:t>
      </w:r>
      <w:r w:rsidDel="00000000" w:rsidR="00000000" w:rsidRPr="00000000">
        <w:rPr>
          <w:rFonts w:ascii="Avenir" w:cs="Avenir" w:eastAsia="Avenir" w:hAnsi="Avenir"/>
          <w:color w:val="3c3f42"/>
          <w:sz w:val="15"/>
          <w:szCs w:val="15"/>
          <w:rtl w:val="0"/>
        </w:rPr>
        <w:t xml:space="preserve">. 2025;16(1):10136. doi:10.1038/s41467-025-65151-x</w:t>
      </w: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[5] Rumble SM, Ongaro D, Stutsman R, Rosenblum M, Ousterhout JK. It is time for low latency. In: </w:t>
      </w:r>
      <w:r w:rsidDel="00000000" w:rsidR="00000000" w:rsidRPr="00000000">
        <w:rPr>
          <w:rFonts w:ascii="Avenir" w:cs="Avenir" w:eastAsia="Avenir" w:hAnsi="Avenir"/>
          <w:i w:val="1"/>
          <w:iCs w:val="1"/>
          <w:color w:val="3c3f42"/>
          <w:sz w:val="15"/>
          <w:szCs w:val="15"/>
          <w:rtl w:val="0"/>
        </w:rPr>
        <w:t xml:space="preserve">Proceedings of the 13th USENIX Workshop on Hot Topics in Operating Systems (HotOS XIII)</w:t>
      </w:r>
      <w:r w:rsidDel="00000000" w:rsidR="00000000" w:rsidRPr="00000000">
        <w:rPr>
          <w:rFonts w:ascii="Avenir" w:cs="Avenir" w:eastAsia="Avenir" w:hAnsi="Avenir"/>
          <w:color w:val="3c3f42"/>
          <w:sz w:val="15"/>
          <w:szCs w:val="15"/>
          <w:rtl w:val="0"/>
        </w:rPr>
        <w:t xml:space="preserve">. USENIX Association; 2011. Accessed March 6, 2026. </w:t>
      </w:r>
      <w:r w:rsidDel="00000000" w:rsidR="00000000" w:rsidRPr="00000000">
        <w:rPr>
          <w:rFonts w:ascii="Avenir" w:cs="Avenir" w:eastAsia="Avenir" w:hAnsi="Avenir"/>
          <w:color w:val="3c3f42"/>
          <w:sz w:val="15"/>
          <w:szCs w:val="15"/>
          <w:rtl w:val="0"/>
        </w:rPr>
        <w:t xml:space="preserve">https://www.usenix.org/legacy/events/hotos11/tech/final_files/Rumble.pdf</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[6] European Commission. What if my company/organisation fails to comply with the data protection rules? Published March 31, 2026. Accessed March 31, 2026. </w:t>
      </w:r>
      <w:hyperlink r:id="rId7">
        <w:r w:rsidDel="00000000" w:rsidR="00000000" w:rsidRPr="00000000">
          <w:rPr>
            <w:rFonts w:ascii="Avenir" w:cs="Avenir" w:eastAsia="Avenir" w:hAnsi="Avenir"/>
            <w:color w:val="1155cc"/>
            <w:sz w:val="15"/>
            <w:szCs w:val="15"/>
            <w:u w:val="single"/>
            <w:rtl w:val="0"/>
          </w:rPr>
          <w:t xml:space="preserve">https://commission.europa.eu/law/law-topic/data-protection/rules-business-and-organisations/enforcement-and-sanctions/sanctions/what-if-my-companyorganisation-fails-comply-data-protection-rules_en</w:t>
        </w:r>
      </w:hyperlink>
      <w:r w:rsidDel="00000000" w:rsidR="00000000" w:rsidRPr="00000000">
        <w:rPr>
          <w:rFonts w:ascii="Avenir" w:cs="Avenir" w:eastAsia="Avenir" w:hAnsi="Avenir"/>
          <w:color w:val="3c3f42"/>
          <w:sz w:val="15"/>
          <w:szCs w:val="15"/>
          <w:rtl w:val="0"/>
        </w:rPr>
        <w:t xml:space="preserve"> </w:t>
      </w: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[7] Ano Kuhanathan A, Latorre M, Dejean G. </w:t>
      </w:r>
      <w:r w:rsidDel="00000000" w:rsidR="00000000" w:rsidRPr="00000000">
        <w:rPr>
          <w:rFonts w:ascii="Avenir" w:cs="Avenir" w:eastAsia="Avenir" w:hAnsi="Avenir"/>
          <w:i w:val="1"/>
          <w:iCs w:val="1"/>
          <w:color w:val="3c3f42"/>
          <w:sz w:val="15"/>
          <w:szCs w:val="15"/>
          <w:rtl w:val="0"/>
        </w:rPr>
        <w:t xml:space="preserve">No Country for Old Robots: How Can Europe Leap Over the Robotics Tech Frontier?</w:t>
      </w:r>
      <w:r w:rsidDel="00000000" w:rsidR="00000000" w:rsidRPr="00000000">
        <w:rPr>
          <w:rFonts w:ascii="Avenir" w:cs="Avenir" w:eastAsia="Avenir" w:hAnsi="Avenir"/>
          <w:color w:val="3c3f42"/>
          <w:sz w:val="15"/>
          <w:szCs w:val="15"/>
          <w:rtl w:val="0"/>
        </w:rPr>
        <w:t xml:space="preserve"> Allianz SE Economic Research; 2025. Accessed March 9, 2026. </w:t>
      </w:r>
      <w:r w:rsidDel="00000000" w:rsidR="00000000" w:rsidRPr="00000000">
        <w:rPr>
          <w:rFonts w:ascii="Avenir" w:cs="Avenir" w:eastAsia="Avenir" w:hAnsi="Avenir"/>
          <w:color w:val="3c3f42"/>
          <w:sz w:val="15"/>
          <w:szCs w:val="15"/>
          <w:rtl w:val="0"/>
        </w:rPr>
        <w:t xml:space="preserve">https://www.allianz.com/en/economic_research/insights/publications/specials/no-country-for-old-robots.html</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[8] OneKey. </w:t>
      </w:r>
      <w:r w:rsidDel="00000000" w:rsidR="00000000" w:rsidRPr="00000000">
        <w:rPr>
          <w:rFonts w:ascii="Avenir" w:cs="Avenir" w:eastAsia="Avenir" w:hAnsi="Avenir"/>
          <w:i w:val="1"/>
          <w:iCs w:val="1"/>
          <w:color w:val="3c3f42"/>
          <w:sz w:val="15"/>
          <w:szCs w:val="15"/>
          <w:rtl w:val="0"/>
        </w:rPr>
        <w:t xml:space="preserve">OT and IoT Cybersecurity Report 2024</w:t>
      </w:r>
      <w:r w:rsidDel="00000000" w:rsidR="00000000" w:rsidRPr="00000000">
        <w:rPr>
          <w:rFonts w:ascii="Avenir" w:cs="Avenir" w:eastAsia="Avenir" w:hAnsi="Avenir"/>
          <w:color w:val="3c3f42"/>
          <w:sz w:val="15"/>
          <w:szCs w:val="15"/>
          <w:rtl w:val="0"/>
        </w:rPr>
        <w:t xml:space="preserve">. OneKey; 2024. Accessed March 1, 2026. </w:t>
      </w:r>
      <w:r w:rsidDel="00000000" w:rsidR="00000000" w:rsidRPr="00000000">
        <w:rPr>
          <w:rFonts w:ascii="Avenir" w:cs="Avenir" w:eastAsia="Avenir" w:hAnsi="Avenir"/>
          <w:color w:val="3c3f42"/>
          <w:sz w:val="15"/>
          <w:szCs w:val="15"/>
          <w:rtl w:val="0"/>
        </w:rPr>
        <w:t xml:space="preserve">https://www.onekey.com/resource/ot-iot-cybersecurity-report-2024</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[9] Caldwell L. Smart and vulnerable: you don't have to be. </w:t>
      </w:r>
      <w:r w:rsidDel="00000000" w:rsidR="00000000" w:rsidRPr="00000000">
        <w:rPr>
          <w:rFonts w:ascii="Avenir" w:cs="Avenir" w:eastAsia="Avenir" w:hAnsi="Avenir"/>
          <w:i w:val="1"/>
          <w:iCs w:val="1"/>
          <w:color w:val="3c3f42"/>
          <w:sz w:val="15"/>
          <w:szCs w:val="15"/>
          <w:rtl w:val="0"/>
        </w:rPr>
        <w:t xml:space="preserve">Forbes</w:t>
      </w:r>
      <w:r w:rsidDel="00000000" w:rsidR="00000000" w:rsidRPr="00000000">
        <w:rPr>
          <w:rFonts w:ascii="Avenir" w:cs="Avenir" w:eastAsia="Avenir" w:hAnsi="Avenir"/>
          <w:color w:val="3c3f42"/>
          <w:sz w:val="15"/>
          <w:szCs w:val="15"/>
          <w:rtl w:val="0"/>
        </w:rPr>
        <w:t xml:space="preserve">. Published July 16, 2025. Accessed March 1, 2026. https://www.forbes.com/sites/lisacaldwell/2025/07/16/smart-and-vulnerable-you-dont-have-to-be/</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3c3f42"/>
          <w:sz w:val="15"/>
          <w:szCs w:val="15"/>
          <w:rtl w:val="0"/>
        </w:rPr>
        <w:t xml:space="preserve">[10] </w:t>
      </w:r>
      <w:r w:rsidDel="00000000" w:rsidR="00000000" w:rsidRPr="00000000">
        <w:rPr>
          <w:rFonts w:ascii="Avenir" w:cs="Avenir" w:eastAsia="Avenir" w:hAnsi="Avenir"/>
          <w:color w:val="3c3f42"/>
          <w:sz w:val="15"/>
          <w:szCs w:val="15"/>
          <w:rtl w:val="0"/>
        </w:rPr>
        <w:t xml:space="preserve">Malik J, Pastore F. An empirical study of vulnerabilities in edge frameworks to support security testing improvement. </w:t>
      </w:r>
      <w:r w:rsidDel="00000000" w:rsidR="00000000" w:rsidRPr="00000000">
        <w:rPr>
          <w:rFonts w:ascii="Avenir" w:cs="Avenir" w:eastAsia="Avenir" w:hAnsi="Avenir"/>
          <w:i w:val="1"/>
          <w:iCs w:val="1"/>
          <w:color w:val="3c3f42"/>
          <w:sz w:val="15"/>
          <w:szCs w:val="15"/>
          <w:rtl w:val="0"/>
        </w:rPr>
        <w:t xml:space="preserve">Empir Softw Eng</w:t>
      </w:r>
      <w:r w:rsidDel="00000000" w:rsidR="00000000" w:rsidRPr="00000000">
        <w:rPr>
          <w:rFonts w:ascii="Avenir" w:cs="Avenir" w:eastAsia="Avenir" w:hAnsi="Avenir"/>
          <w:color w:val="3c3f42"/>
          <w:sz w:val="15"/>
          <w:szCs w:val="15"/>
          <w:rtl w:val="0"/>
        </w:rPr>
        <w:t xml:space="preserve">. 2023;28(4):99. doi:10.1007/s10664-023-10330-x</w:t>
      </w:r>
      <w:r w:rsidDel="00000000" w:rsidR="00000000" w:rsidRPr="00000000">
        <w:rPr>
          <w:rtl w:val="0"/>
        </w:rPr>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 Huang T, Huang W, Zhang B, Chen W, Pan X. Optimizing energy consumption in centralized and distributed cloud architectures with a comparative study to increase stability and efficiency. </w:t>
      </w:r>
      <w:r w:rsidDel="00000000" w:rsidR="00000000" w:rsidRPr="00000000">
        <w:rPr>
          <w:rFonts w:ascii="Avenir" w:cs="Avenir" w:eastAsia="Avenir" w:hAnsi="Avenir"/>
          <w:i w:val="1"/>
          <w:iCs w:val="1"/>
          <w:color w:val="3c3f42"/>
          <w:sz w:val="15"/>
          <w:szCs w:val="15"/>
          <w:rtl w:val="0"/>
        </w:rPr>
        <w:t xml:space="preserve">Energy Build</w:t>
      </w:r>
      <w:r w:rsidDel="00000000" w:rsidR="00000000" w:rsidRPr="00000000">
        <w:rPr>
          <w:rFonts w:ascii="Avenir" w:cs="Avenir" w:eastAsia="Avenir" w:hAnsi="Avenir"/>
          <w:color w:val="3c3f42"/>
          <w:sz w:val="15"/>
          <w:szCs w:val="15"/>
          <w:rtl w:val="0"/>
        </w:rPr>
        <w:t xml:space="preserve">. 2025;333:115454. doi:10.1016/j.enbuild.2025.115454</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[12] Marvel JA, Norcross R. Implementing speed and separation monitoring in collaborative robot workcells. Robotics Comput Integr Manuf. 2017;44:144-155. doi:10.1016/j.rcim.2016.08.001.</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[13] Zhou Z, Chen X, Li E, Zeng L, Luo K, Zhang J. Edge intelligence: paving the last mile of artificial intelligence with edge computing. Proc IEEE. 2019;107(8):1738-1762. doi:10.1109/JPROC.2019.2918951.</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[14] Atwany M, Pardo S, Serunjogi S, Rasras M. A review of emerging trends in photonic deep learning accelerators. Front Phys. 2024;12:1369099. doi:10.3389/fphy.2024.1369099.</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[15] Chen Y, Sun X, Tan L, et al. All-optical synthesis chip for large-scale intelligent semantic vision generation. </w:t>
      </w:r>
      <w:r w:rsidDel="00000000" w:rsidR="00000000" w:rsidRPr="00000000">
        <w:rPr>
          <w:rFonts w:ascii="Avenir" w:cs="Avenir" w:eastAsia="Avenir" w:hAnsi="Avenir"/>
          <w:i w:val="1"/>
          <w:iCs w:val="1"/>
          <w:color w:val="3c3f42"/>
          <w:sz w:val="15"/>
          <w:szCs w:val="15"/>
          <w:rtl w:val="0"/>
        </w:rPr>
        <w:t xml:space="preserve">Science</w:t>
      </w:r>
      <w:r w:rsidDel="00000000" w:rsidR="00000000" w:rsidRPr="00000000">
        <w:rPr>
          <w:rFonts w:ascii="Avenir" w:cs="Avenir" w:eastAsia="Avenir" w:hAnsi="Avenir"/>
          <w:color w:val="3c3f42"/>
          <w:sz w:val="15"/>
          <w:szCs w:val="15"/>
          <w:rtl w:val="0"/>
        </w:rPr>
        <w:t xml:space="preserve">. 2025:390(6779):1259-1265. doi:10.1126/science.acv743</w:t>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[16] European Commission. Data Act explained. Published March 31, 2023. Accessed March 31, 2026. </w:t>
      </w:r>
      <w:hyperlink r:id="rId8">
        <w:r w:rsidDel="00000000" w:rsidR="00000000" w:rsidRPr="00000000">
          <w:rPr>
            <w:rFonts w:ascii="Avenir" w:cs="Avenir" w:eastAsia="Avenir" w:hAnsi="Avenir"/>
            <w:color w:val="1155cc"/>
            <w:sz w:val="15"/>
            <w:szCs w:val="15"/>
            <w:u w:val="single"/>
            <w:rtl w:val="0"/>
          </w:rPr>
          <w:t xml:space="preserve">https://digital-strategy.ec.europa.eu/en/factpages/data-act-explained</w:t>
        </w:r>
      </w:hyperlink>
      <w:r w:rsidDel="00000000" w:rsidR="00000000" w:rsidRPr="00000000">
        <w:rPr>
          <w:rtl w:val="0"/>
        </w:rPr>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[17] European Commission. Navigating the AI Act. Published March 31, 2026. Accessed March 31, 2026. </w:t>
      </w:r>
      <w:hyperlink r:id="rId9">
        <w:r w:rsidDel="00000000" w:rsidR="00000000" w:rsidRPr="00000000">
          <w:rPr>
            <w:rFonts w:ascii="Avenir" w:cs="Avenir" w:eastAsia="Avenir" w:hAnsi="Avenir"/>
            <w:color w:val="1155cc"/>
            <w:sz w:val="15"/>
            <w:szCs w:val="15"/>
            <w:u w:val="single"/>
            <w:rtl w:val="0"/>
          </w:rPr>
          <w:t xml:space="preserve">https://digital-strategy.ec.europa.eu/en/faqs/navigating-ai-act</w:t>
        </w:r>
      </w:hyperlink>
      <w:r w:rsidDel="00000000" w:rsidR="00000000" w:rsidRPr="00000000">
        <w:rPr>
          <w:rFonts w:ascii="Avenir" w:cs="Avenir" w:eastAsia="Avenir" w:hAnsi="Avenir"/>
          <w:color w:val="3c3f42"/>
          <w:sz w:val="15"/>
          <w:szCs w:val="15"/>
          <w:rtl w:val="0"/>
        </w:rPr>
        <w:t xml:space="preserve"> </w:t>
      </w: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[18] Association for Advancing Automation. Legacy equipment and digital transformation. Published March 31, 2026. Accessed March 31, 2026. </w:t>
      </w:r>
      <w:hyperlink r:id="rId10">
        <w:r w:rsidDel="00000000" w:rsidR="00000000" w:rsidRPr="00000000">
          <w:rPr>
            <w:rFonts w:ascii="Avenir" w:cs="Avenir" w:eastAsia="Avenir" w:hAnsi="Avenir"/>
            <w:color w:val="1155cc"/>
            <w:sz w:val="15"/>
            <w:szCs w:val="15"/>
            <w:u w:val="single"/>
            <w:rtl w:val="0"/>
          </w:rPr>
          <w:t xml:space="preserve">https://www.automate.org/robotics/industry-insights/legacy-equipment-digital-transformation</w:t>
        </w:r>
      </w:hyperlink>
      <w:r w:rsidDel="00000000" w:rsidR="00000000" w:rsidRPr="00000000">
        <w:rPr>
          <w:rFonts w:ascii="Avenir" w:cs="Avenir" w:eastAsia="Avenir" w:hAnsi="Avenir"/>
          <w:color w:val="3c3f42"/>
          <w:sz w:val="15"/>
          <w:szCs w:val="15"/>
          <w:rtl w:val="0"/>
        </w:rPr>
        <w:t xml:space="preserve"> </w:t>
      </w: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oah Grohganz" w:id="0" w:date="2026-03-31T11:25:48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let's push this over the finish line together</w:t>
      </w:r>
    </w:p>
  </w:comment>
  <w:comment w:author="Simon Peter" w:id="1" w:date="2026-03-31T12:06:43Z">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@noah.grohganz@cdtm.com I'd love to buddy</w:t>
      </w:r>
    </w:p>
  </w:comment>
  <w:comment w:author="Noah Grohganz" w:id="2" w:date="2026-03-31T13:40:59Z">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did the changes - going for a hot chocolate now</w:t>
      </w:r>
    </w:p>
  </w:comment>
  <w:comment w:author="Simon Peter" w:id="3" w:date="2026-03-31T13:43:57Z">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@noah.grohganz@cdtm.com cute. enjoy. lmk how it was &lt;3</w:t>
      </w:r>
    </w:p>
  </w:comment>
  <w:comment w:author="Noah Grohganz" w:id="4" w:date="2026-03-31T14:00:04Z">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@simon.peter@cdtm.com hihi was amazing  :*</w:t>
      </w:r>
    </w:p>
  </w:comment>
  <w:comment w:author="Noah Grohganz" w:id="5" w:date="2026-03-31T10:08:14Z">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Old version: Industrial AI requires near-instant responses, making the latency of distant compute infrastructure a bottleneck [1]. Processing data on factory-floor hardware rather than remote servers reduces latency and keeps proprietary production data on-premises [1]. On-premises compute meets the sub-20-millisecond response times required for safety-critical applications such as autonomous mobile robot navigation and real-time cobot collision avoidance [2]. Rather than replacing the cloud, edge computing serves as a vital complement to offload workloads and enable real-time processing [1,2]. That demand for high-performance, low-energy operation is encouraging hardware development beyond conventional silicon [3,4]. Neuromorphic processors, inspired by biological neural architectures, deliver up to 100 times higher energy efficiency and 50 times higher speed than conventional processor architectures for inference tasks [3]. Photonic computing, which uses light instead of electrons, has demonstrated inference at 29 femtojoules per operation and speeds more than 100 times faster than leading Nvidia processors for generative AI workloads [4].</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hyperlink" Target="https://www.automate.org/robotics/industry-insights/legacy-equipment-digital-transformation" TargetMode="External"/><Relationship Id="rId9" Type="http://schemas.openxmlformats.org/officeDocument/2006/relationships/hyperlink" Target="https://digital-strategy.ec.europa.eu/en/faqs/navigating-ai-act"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commission.europa.eu/law/law-topic/data-protection/rules-business-and-organisations/enforcement-and-sanctions/sanctions/what-if-my-companyorganisation-fails-comply-data-protection-rules_en" TargetMode="External"/><Relationship Id="rId8" Type="http://schemas.openxmlformats.org/officeDocument/2006/relationships/hyperlink" Target="https://digital-strategy.ec.europa.eu/en/factpages/data-act-explain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