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bookmarkStart w:colFirst="0" w:colLast="0" w:name="_5tluticw7sml" w:id="0"/>
      <w:bookmarkEnd w:id="0"/>
      <w:r w:rsidDel="00000000" w:rsidR="00000000" w:rsidRPr="00000000">
        <w:rPr>
          <w:rFonts w:ascii="Avenir" w:cs="Avenir" w:eastAsia="Avenir" w:hAnsi="Avenir"/>
          <w:b w:val="1"/>
          <w:bCs w:val="1"/>
          <w:color w:val="5b9bd5"/>
          <w:sz w:val="24"/>
          <w:szCs w:val="24"/>
          <w:rtl w:val="0"/>
        </w:rPr>
        <w:t xml:space="preserve">Harmonizing Data Infrastructure</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From Fragmented OT Data to AI-Ready Data Interoperability</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Industrial AI requires interoperable and semantically coherent operational data [1,26]. Today, this is largely unmet. Production environments rely on legacy machines with custom protocols for local control instead of structured data exchange [1,3,26]. OT remains physically siloed from IT infrastructure without a data source connectivity layer [24,27]. Connectivity is not sufficient for interoperability as vendors implement standards differently [27]. Thus, collected data is often syntactically compatible but semantically incompatible [5]. Modern edge platforms integrate semantic frameworks that define what each data point stands for, which makes heterogeneous assets usable for industrial AI [9]. Combined with multimodal inputs from vision and sensor systems [8], this makes for a unified data layer across the shop floor. This foundation determines what industrial AI can do, because without harmonized data, each use case requires bespoke pipelines. With it, models generalize across assets and sites by using cross-process context for intelligent perception and decision-making [1,6,11]. Potential unlocked capabilities span from predictive maintenance and real-time process optimization to cross-organizational digital twins and closed-loop orchestration [17,19,25].</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Facts</w:t>
      </w:r>
      <w:r w:rsidDel="00000000" w:rsidR="00000000" w:rsidRPr="00000000">
        <w:rPr>
          <w:rtl w:val="0"/>
        </w:rPr>
      </w:r>
    </w:p>
    <w:p w:rsidR="00000000" w:rsidDel="00000000" w:rsidP="00000000" w:rsidRDefault="00000000" w:rsidRPr="00000000" w14:paraId="00000005">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Standardized and harmonized data enable interpretability. Interoperability has been shown to increase efficiency and innovation through seamless communication and data integrity across physical and digital domains. [23]</w:t>
      </w:r>
    </w:p>
    <w:p w:rsidR="00000000" w:rsidDel="00000000" w:rsidP="00000000" w:rsidRDefault="00000000" w:rsidRPr="00000000" w14:paraId="00000006">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70% of SME manufacturing devices are legacy machines. Firms prioritize brownfield connectivity to unlock AI value via gateways and retrofitting [11,12].</w:t>
      </w:r>
      <w:r w:rsidDel="00000000" w:rsidR="00000000" w:rsidRPr="00000000">
        <w:rPr>
          <w:rtl w:val="0"/>
        </w:rPr>
      </w:r>
    </w:p>
    <w:p w:rsidR="00000000" w:rsidDel="00000000" w:rsidP="00000000" w:rsidRDefault="00000000" w:rsidRPr="00000000" w14:paraId="00000007">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global data integration market is projected to grow from 19.21B USD in 2026 to 51.82B USD by 2035, at an 11.72% Compound Annual Growth Rate (CAGR) [15].</w:t>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AI pilots in manufacturing are failing due to data fragmentation, creating organizational pressure for a harmonized data infrastructure [16].</w:t>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Falling IoT sensor unit costs have fallen to 0.50 USD, from 1.30 USD in the early 2000s, and maturing edge platforms lower barriers to harmonization, making interoperability investments viable for SME as well as large manufacturers [2,6].</w:t>
      </w:r>
    </w:p>
    <w:p w:rsidR="00000000" w:rsidDel="00000000" w:rsidP="00000000" w:rsidRDefault="00000000" w:rsidRPr="00000000" w14:paraId="0000000B">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OPC UA and the Asset Administration Shell are establishing semantic vocabularies, while the EU DPP is making standardized data a regulatory necessity [17,18]. Catena-X and Manufacturing-X make cross-company data sharing viable [19].</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Challenges</w:t>
      </w:r>
      <w:r w:rsidDel="00000000" w:rsidR="00000000" w:rsidRPr="00000000">
        <w:rPr>
          <w:rtl w:val="0"/>
        </w:rPr>
      </w:r>
    </w:p>
    <w:p w:rsidR="00000000" w:rsidDel="00000000" w:rsidP="00000000" w:rsidRDefault="00000000" w:rsidRPr="00000000" w14:paraId="0000000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Ransomware against OT environments jumped 46% between Q4 2024 and Q1 2025 [20]. IT and OT convergence, which enables data harmonization, simultaneously increases exposure to cyber attacks, with 65% of manufacturing executives ranking operational risk, including cybersecurity breaches, as a top concern [4,16].</w:t>
      </w:r>
      <w:r w:rsidDel="00000000" w:rsidR="00000000" w:rsidRPr="00000000">
        <w:rPr>
          <w:rtl w:val="0"/>
        </w:rPr>
      </w:r>
    </w:p>
    <w:p w:rsidR="00000000" w:rsidDel="00000000" w:rsidP="00000000" w:rsidRDefault="00000000" w:rsidRPr="00000000" w14:paraId="0000000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IT and OT teams operate under separate leadership with misaligned priorities, producing governance silos that must be resolved before semantic data standards can be adopted and scaled across the shop floor [24].</w:t>
      </w: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before="240" w:line="36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utility of industrial AI in heterogeneous environments depends on a unified representation-learning architecture that integrates domain-specific data to enable intelligent perception and decision-making [11]. Without semantically coherent, streamed OT data, AI models cannot generalize across assets, production lines, or supply chain partners [1,6]. Harmonization at the asset level and at the ecosystem level, unlocks the full AI spectrum ranging across the shop floor [7,17,19]. Long term, data interoperability could enable autonomous factory operations through closed-loop AI process orchestration [3, 23].</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tl w:val="0"/>
        </w:rPr>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24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Barua DA, Sami SA, Barua L. Leveraging artificial intelligence for smart production management in industry 4.0. Sci Rep. 2025;15(1):25413. doi:10.1038/s41598-025-25413-6</w:t>
      </w:r>
    </w:p>
    <w:p w:rsidR="00000000" w:rsidDel="00000000" w:rsidP="00000000" w:rsidRDefault="00000000" w:rsidRPr="00000000" w14:paraId="00000013">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Rodseth R, Mayer M, Rothkugel J. IIoT at a tipping point: what needs to change for it to deliver real value and why we think now is the time. Activant Capital. Published August 2024. Accessed March 1, 2026. https://activantcapital.com/research/iiot-at-a-tipping-point</w:t>
      </w:r>
    </w:p>
    <w:p w:rsidR="00000000" w:rsidDel="00000000" w:rsidP="00000000" w:rsidRDefault="00000000" w:rsidRPr="00000000" w14:paraId="00000014">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Verma A, Prasad VK, Kumari A, et al. Industry 6.0: vision, technical landscape, and opportunities. Alexandria Eng J. 2025;130:139-174. doi:10.1016/j.aej.2025.08.040</w:t>
      </w:r>
    </w:p>
    <w:p w:rsidR="00000000" w:rsidDel="00000000" w:rsidP="00000000" w:rsidRDefault="00000000" w:rsidRPr="00000000" w14:paraId="00000015">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Deloitte. Manufacturing organizations get real about AI and data strategy. Deloitte Insights. Published October 14, 2020. Accessed March 30, 2026. https://action.deloitte.com/insight/4246/manufacturing-orgs-get-real-about-ai-data-strategy</w:t>
      </w:r>
    </w:p>
    <w:p w:rsidR="00000000" w:rsidDel="00000000" w:rsidP="00000000" w:rsidRDefault="00000000" w:rsidRPr="00000000" w14:paraId="00000016">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Kampker A, Heimes HH, Dorn B, Clever H, Ludwigs R, Li RY. Leveraging Industry 4.0 solutions for lithium-ion battery manufacturing: a gap analysis of OPC UA companion specifications. Procedia CIRP. 2024;126:853-858. doi:10.1016/j.procir.2024.08.273</w:t>
      </w:r>
    </w:p>
    <w:p w:rsidR="00000000" w:rsidDel="00000000" w:rsidP="00000000" w:rsidRDefault="00000000" w:rsidRPr="00000000" w14:paraId="00000017">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McKinsey &amp; Company. A manufacturer's guide to scaling Industrial IoT. McKinsey &amp; Company. Published February 5, 2021. Accessed March 30, 2026. https://www.mckinsey.com/capabilities/tech-and-ai/our-insights/a-manufacturers-guide-to-generating-value-at-scale-with-industrial-iot</w:t>
      </w:r>
    </w:p>
    <w:p w:rsidR="00000000" w:rsidDel="00000000" w:rsidP="00000000" w:rsidRDefault="00000000" w:rsidRPr="00000000" w14:paraId="00000018">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Pribis R, Beno L, Drahos P. Asset administration shell design methodology using embedded OPC unified architecture server. Electronics. 2021;10(20):2520. doi:10.3390/electronics10202520</w:t>
      </w:r>
    </w:p>
    <w:p w:rsidR="00000000" w:rsidDel="00000000" w:rsidP="00000000" w:rsidRDefault="00000000" w:rsidRPr="00000000" w14:paraId="00000019">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Gartner Inc. Gartner hype cycle identifies top AI innovations for 2025. Gartner. Published August 5, 2025. Accessed March 30, 2026. https://www.gartner.com/en/newsroom/press-releases/2025-08-05-gartner-hype-cycle-identifies-top-ai-innovations-2025</w:t>
      </w:r>
    </w:p>
    <w:p w:rsidR="00000000" w:rsidDel="00000000" w:rsidP="00000000" w:rsidRDefault="00000000" w:rsidRPr="00000000" w14:paraId="0000001A">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Shin M, Jung J. An edge AI system framework based on the asset administration shell standard. Systems. 2026;14(2):205. doi:10.3390/systems14020205</w:t>
      </w:r>
    </w:p>
    <w:p w:rsidR="00000000" w:rsidDel="00000000" w:rsidP="00000000" w:rsidRDefault="00000000" w:rsidRPr="00000000" w14:paraId="0000001B">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World Economic Forum. Physical AI: powering the new age of industrial operations. World Economic Forum. Published September 4, 2025. Accessed March 30, 2026. https://www.weforum.org/publications/physical-ai-powering-the-new-age-of-industrial-operations/</w:t>
      </w:r>
    </w:p>
    <w:p w:rsidR="00000000" w:rsidDel="00000000" w:rsidP="00000000" w:rsidRDefault="00000000" w:rsidRPr="00000000" w14:paraId="0000001C">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Wang K, Dave P, Hanchate A, Sagapuram D, Natarajan G, Bukkapatnam STS. Implementing an open-source sensor data ingestion, fusion, and analysis capabilities for smart manufacturing. Mfg Lett. 2022;33(suppl):893-901. doi:10.1016/j.mfglet.2022.07.109</w:t>
      </w:r>
    </w:p>
    <w:p w:rsidR="00000000" w:rsidDel="00000000" w:rsidP="00000000" w:rsidRDefault="00000000" w:rsidRPr="00000000" w14:paraId="0000001D">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Allied Market Research. Industrial multiprotocol gateway market size, share, and industry analysis, 2024-2032. Allied Market Research. Published 2024. Accessed March 30, 2026. https://www.alliedmarketresearch.com/industrial-multiprotocol-gateway-market-A07055</w:t>
      </w:r>
    </w:p>
    <w:p w:rsidR="00000000" w:rsidDel="00000000" w:rsidP="00000000" w:rsidRDefault="00000000" w:rsidRPr="00000000" w14:paraId="0000001E">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IIoT World. 2026 industrial AI readiness report. IIoT World. Published January 27, 2026. Accessed March 30, 2026. https://www.iiot-world.com/industrial-iot/connected-industry/industrial-ai-readiness-report-2026/</w:t>
      </w:r>
    </w:p>
    <w:p w:rsidR="00000000" w:rsidDel="00000000" w:rsidP="00000000" w:rsidRDefault="00000000" w:rsidRPr="00000000" w14:paraId="0000001F">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Salesforce. Connectivity benchmark report 2025. Salesforce. Published 2025. Accessed March 1, 2026. https://www.salesforce.com/content/dam/web/en_sg/www/documents/pdf/2025-connectivity-benchmark-report.pdf</w:t>
      </w:r>
    </w:p>
    <w:p w:rsidR="00000000" w:rsidDel="00000000" w:rsidP="00000000" w:rsidRDefault="00000000" w:rsidRPr="00000000" w14:paraId="00000020">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Precedence Research. Data integration market size, share, and trends 2024 to 2034. Precedence Research. Published March 30, 2026. Accessed March 30, 2026. https://www.precedenceresearch.com/data-integration-market</w:t>
      </w:r>
    </w:p>
    <w:p w:rsidR="00000000" w:rsidDel="00000000" w:rsidP="00000000" w:rsidRDefault="00000000" w:rsidRPr="00000000" w14:paraId="00000021">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West Monroe. Manufacturing outlook 2026. West Monroe. Published 2026. Accessed March 1, 2026. https://go.westmonroe.com/2026ManufacturingOutlook</w:t>
      </w:r>
    </w:p>
    <w:p w:rsidR="00000000" w:rsidDel="00000000" w:rsidP="00000000" w:rsidRDefault="00000000" w:rsidRPr="00000000" w14:paraId="00000022">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Gupta P, Hoffmann D, Ludemann-Ravit B, Luder A. Digital twin and data interoperability architectures for smart manufacturing. IFAC-PapersOnLine. 2025;58(1). doi:10.1016/j.ifacol.2025.08.040</w:t>
      </w:r>
    </w:p>
    <w:p w:rsidR="00000000" w:rsidDel="00000000" w:rsidP="00000000" w:rsidRDefault="00000000" w:rsidRPr="00000000" w14:paraId="00000023">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European Commission. EU's digital product passport: advancing transparency and sustainability. European Commission. Published September 27, 2024. Accessed March 30, 2026. https://data.europa.eu/en/news-events/news/eus-digital-product-passport-advancing-transparency-and-sustainability</w:t>
      </w:r>
    </w:p>
    <w:p w:rsidR="00000000" w:rsidDel="00000000" w:rsidP="00000000" w:rsidRDefault="00000000" w:rsidRPr="00000000" w14:paraId="00000024">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Catena-X Automotive Network e.V., Information-Technology Promotion Agency, Japan. Catena-X and Ouranos ecosystem successfully demonstrate data space interoperability. Catena-X. Published March 31, 2025. Accessed March 30, 2026. https://catena-x.net/news/catena-x-and-ouranos-ecosystem-successfully-demonstrate-data-space-interoperability/</w:t>
      </w:r>
    </w:p>
    <w:p w:rsidR="00000000" w:rsidDel="00000000" w:rsidP="00000000" w:rsidRDefault="00000000" w:rsidRPr="00000000" w14:paraId="00000025">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Honeywell. Ransomware attacks targeting industrial operators surge 46 percent in one quarter, Honeywell report finds. Honeywell. Published June 2025. Accessed March 30, 2026. https://www.honeywell.com/us/en/press/2025/06/ransomware-attacks-targeting-industrial-operators-surge-46-percent-in-one-quarter-honeywell-report-finds</w:t>
      </w:r>
    </w:p>
    <w:p w:rsidR="00000000" w:rsidDel="00000000" w:rsidP="00000000" w:rsidRDefault="00000000" w:rsidRPr="00000000" w14:paraId="00000026">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Cemri M, Pan MZ, Yang S, et al. Why do multi-agent LLM systems fail? Preprint. Posted online March 17, 2025. arXiv. doi:10.48550/arXiv.2503.13657</w:t>
      </w:r>
    </w:p>
    <w:p w:rsidR="00000000" w:rsidDel="00000000" w:rsidP="00000000" w:rsidRDefault="00000000" w:rsidRPr="00000000" w14:paraId="00000027">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Wang T, Zhang B, Jiang D, Li D. A multimodal large language model framework for intelligent perception and decision-making in smart manufacturing. Sensors. 2025;25(10):3072. doi:10.3390/s25103072</w:t>
      </w:r>
    </w:p>
    <w:p w:rsidR="00000000" w:rsidDel="00000000" w:rsidP="00000000" w:rsidRDefault="00000000" w:rsidRPr="00000000" w14:paraId="00000028">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Bousdekis A, Mentzas G. Enterprise integration and interoperability for big data-driven processes in the frame of Industry 4.0. Front Big Data. 2021;4:644651. doi:10.3389/fdata.2021.644651</w:t>
      </w:r>
    </w:p>
    <w:p w:rsidR="00000000" w:rsidDel="00000000" w:rsidP="00000000" w:rsidRDefault="00000000" w:rsidRPr="00000000" w14:paraId="00000029">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Chang M, Koerber B, Soganci M. Converge IT and OT to turbocharge business operations’ scaling power. McKinsey. Published June 28, 2022. Accessed March 31, 2026. </w:t>
      </w:r>
      <w:hyperlink r:id="rId6">
        <w:r w:rsidDel="00000000" w:rsidR="00000000" w:rsidRPr="00000000">
          <w:rPr>
            <w:rFonts w:ascii="Avenir" w:cs="Avenir" w:eastAsia="Avenir" w:hAnsi="Avenir"/>
            <w:color w:val="1155cc"/>
            <w:sz w:val="15"/>
            <w:szCs w:val="15"/>
            <w:u w:val="single"/>
            <w:rtl w:val="0"/>
          </w:rPr>
          <w:t xml:space="preserve">https://www.mckinsey.com/capabilities/operations/our-insights/converge-it-and-ot-to-turbocharge-business-operations-scaling-power</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2A">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Nguyen P, Kim M, Nichols E, Yoon H. AI-driven digital twins for manufacturing: a review across hierarchical manufacturing system levels. Sensors. 2025;26(1):124. doi:10.3390/s26010124</w:t>
      </w:r>
    </w:p>
    <w:p w:rsidR="00000000" w:rsidDel="00000000" w:rsidP="00000000" w:rsidRDefault="00000000" w:rsidRPr="00000000" w14:paraId="0000002B">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afterAutospacing="0" w:before="0" w:beforeAutospacing="0" w:line="240" w:lineRule="auto"/>
        <w:ind w:left="720" w:hanging="360"/>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Deloitte. 2025 smart manufacturing survey. Published March 31, 2026. Accessed March 31, 2026. </w:t>
      </w:r>
      <w:hyperlink r:id="rId7">
        <w:r w:rsidDel="00000000" w:rsidR="00000000" w:rsidRPr="00000000">
          <w:rPr>
            <w:rFonts w:ascii="Avenir" w:cs="Avenir" w:eastAsia="Avenir" w:hAnsi="Avenir"/>
            <w:color w:val="1155cc"/>
            <w:sz w:val="15"/>
            <w:szCs w:val="15"/>
            <w:u w:val="single"/>
            <w:rtl w:val="0"/>
          </w:rPr>
          <w:t xml:space="preserve">https://www.deloitte.com/us/en/insights/industry/manufacturing/2025-smart-manufacturing-survey.html</w:t>
        </w:r>
      </w:hyperlink>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2C">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240" w:before="0" w:beforeAutospacing="0" w:line="240" w:lineRule="auto"/>
        <w:ind w:left="720" w:hanging="360"/>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Venanzi R, Di Modica G, Foschini L. Towards IT/OT integration in industry digitalization: a comprehensive survey. J Netw Comput Appl. 2026;245:104373. doi:10.1016/j.jnca.2025.104373</w:t>
      </w:r>
    </w:p>
    <w:p w:rsidR="00000000" w:rsidDel="00000000" w:rsidP="00000000" w:rsidRDefault="00000000" w:rsidRPr="00000000" w14:paraId="0000002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mckinsey.com/capabilities/operations/our-insights/converge-it-and-ot-to-turbocharge-business-operations-scaling-power" TargetMode="External"/><Relationship Id="rId7" Type="http://schemas.openxmlformats.org/officeDocument/2006/relationships/hyperlink" Target="https://www.deloitte.com/us/en/insights/industry/manufacturing/2025-smart-manufacturing-surve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