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20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2">
      <w:pPr>
        <w:pStyle w:val="Heading1"/>
        <w:pBdr>
          <w:top w:color="000000" w:space="0" w:sz="0" w:val="none"/>
          <w:left w:color="000000" w:space="0" w:sz="0" w:val="none"/>
          <w:bottom w:color="000000" w:space="0" w:sz="0" w:val="none"/>
          <w:right w:color="000000" w:space="0" w:sz="0" w:val="none"/>
          <w:between w:color="000000" w:space="0" w:sz="0" w:val="none"/>
        </w:pBdr>
        <w:spacing w:after="200" w:before="0" w:line="240" w:lineRule="auto"/>
        <w:jc w:val="both"/>
        <w:rPr>
          <w:rFonts w:ascii="Avenir" w:cs="Avenir" w:eastAsia="Avenir" w:hAnsi="Avenir"/>
          <w:b w:val="1"/>
          <w:bCs w:val="1"/>
          <w:color w:val="5b9bd5"/>
          <w:sz w:val="24"/>
          <w:szCs w:val="24"/>
        </w:rPr>
      </w:pPr>
      <w:bookmarkStart w:colFirst="0" w:colLast="0" w:name="_pfxtqo66ilrz" w:id="0"/>
      <w:bookmarkEnd w:id="0"/>
      <w:r w:rsidDel="00000000" w:rsidR="00000000" w:rsidRPr="00000000">
        <w:rPr>
          <w:rFonts w:ascii="Avenir" w:cs="Avenir" w:eastAsia="Avenir" w:hAnsi="Avenir"/>
          <w:b w:val="1"/>
          <w:bCs w:val="1"/>
          <w:color w:val="5b9bd5"/>
          <w:sz w:val="24"/>
          <w:szCs w:val="24"/>
          <w:rtl w:val="0"/>
        </w:rPr>
        <w:t xml:space="preserve">Introduction</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Artificial Intelligence (AI) has moved beyond isolated point solutions, where individual algorithms handled single tasks such as defect detection or demand forecasting in disconnected deployments [1,2]. It is becoming the operating logic of a new production paradigm where factories sense, reason, and adapt in real time [3]. The second- and third-order consequences of today's technological building blocks will compound over the next decades, creating new categories of competitive advantage where effects reinforce each other and binding constraints where critical challenges remain unsolved.</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First-order effects are already visible. Edge processors move inference closer to the shop floor, reducing response time and enabling near-real-time local decisions that cloud-only architectures may struggle to support consistently [4]. Predictive maintenance replaces fixed schedules with data-driven foresight, improving downtime forecasting accuracy by up to 85%, reducing unplanned machine downtime by up to 50%, and extending machine life by 20% to 40% [5,6]. </w:t>
      </w:r>
      <w:r w:rsidDel="00000000" w:rsidR="00000000" w:rsidRPr="00000000">
        <w:rPr>
          <w:rFonts w:ascii="Avenir" w:cs="Avenir" w:eastAsia="Avenir" w:hAnsi="Avenir"/>
          <w:color w:val="3c3f42"/>
          <w:sz w:val="15"/>
          <w:szCs w:val="15"/>
          <w:rtl w:val="0"/>
        </w:rPr>
        <w:t xml:space="preserve">Semantic data layers are starting to bridge the protocol fragmentation that has kept operational technology (OT) isolated from the information technology (IT) systems where AI runs. Here, legacy assets without modern connectivity remain the dominant integration barrier in manufacturing environments.</w:t>
      </w:r>
      <w:r w:rsidDel="00000000" w:rsidR="00000000" w:rsidRPr="00000000">
        <w:rPr>
          <w:rFonts w:ascii="Avenir" w:cs="Avenir" w:eastAsia="Avenir" w:hAnsi="Avenir"/>
          <w:color w:val="3c3f42"/>
          <w:sz w:val="15"/>
          <w:szCs w:val="15"/>
          <w:rtl w:val="0"/>
        </w:rPr>
        <w:t xml:space="preserve"> [7,8]. Physical AI is extending robotic capabilities beyond tightly scripted assembly settings into more adaptive, real-world, and high-mix/</w:t>
      </w:r>
      <w:r w:rsidDel="00000000" w:rsidR="00000000" w:rsidRPr="00000000">
        <w:rPr>
          <w:rFonts w:ascii="Avenir" w:cs="Avenir" w:eastAsia="Avenir" w:hAnsi="Avenir"/>
          <w:color w:val="3c3f42"/>
          <w:sz w:val="15"/>
          <w:szCs w:val="15"/>
          <w:rtl w:val="0"/>
        </w:rPr>
        <w:t xml:space="preserve">low-volume</w:t>
      </w:r>
      <w:r w:rsidDel="00000000" w:rsidR="00000000" w:rsidRPr="00000000">
        <w:rPr>
          <w:rFonts w:ascii="Avenir" w:cs="Avenir" w:eastAsia="Avenir" w:hAnsi="Avenir"/>
          <w:color w:val="3c3f42"/>
          <w:sz w:val="15"/>
          <w:szCs w:val="15"/>
          <w:rtl w:val="0"/>
        </w:rPr>
        <w:t xml:space="preserve"> (HMLV)  industrial environments such as aerospace. [9,10]. Industrial foundation models offer broad cross-task adaptability, but deployment in tightly controlled industrial settings poses challenges related to generalization, trustworthiness, interpretability, and continual learning [11,12].</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deeper story is what happens when these capabilities compound. When edge inference meets semantically harmonized data, it creates the precondition for closed-loop autonomy, where production lines self-regulate without human arbitration [4,7]. When predictive maintenance matures through prescriptive into autonomous intervention, downtime stops being an event to recover from and becomes a residual that the system continuously minimizes [13]. When Physical AI makes HMLV work economically automatable, the logic of mass production migrates into domains that have resisted systematization for decades, from aerospace to construction and medical devices [9,10].</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same interconnectedness that enables these compounding gains, however, simultaneously widens the attack surface and raises the governance stakes, making data integrity, cybersecurity, and regulatory alignment structural prerequisites rather than secondary considerations. </w:t>
      </w:r>
      <w:r w:rsidDel="00000000" w:rsidR="00000000" w:rsidRPr="00000000">
        <w:rPr>
          <w:rFonts w:ascii="Avenir" w:cs="Avenir" w:eastAsia="Avenir" w:hAnsi="Avenir"/>
          <w:color w:val="3c3f42"/>
          <w:sz w:val="15"/>
          <w:szCs w:val="15"/>
          <w:rtl w:val="0"/>
        </w:rPr>
        <w:t xml:space="preserve">Industry 6.0 envisions cross-company AI ecosystems, federated learning across supply chains, and sustainability-driven manufacturing as converging outcomes of advanced connectivity and interoperability architectures [7]</w:t>
      </w:r>
      <w:r w:rsidDel="00000000" w:rsidR="00000000" w:rsidRPr="00000000">
        <w:rPr>
          <w:rFonts w:ascii="Avenir" w:cs="Avenir" w:eastAsia="Avenir" w:hAnsi="Avenir"/>
          <w:color w:val="3c3f42"/>
          <w:sz w:val="15"/>
          <w:szCs w:val="15"/>
          <w:rtl w:val="0"/>
        </w:rPr>
        <w:t xml:space="preserve">. Industrial foundation models demand an entirely new operational discipline, Foundation Model Operations (</w:t>
      </w:r>
      <w:r w:rsidDel="00000000" w:rsidR="00000000" w:rsidRPr="00000000">
        <w:rPr>
          <w:rFonts w:ascii="Avenir" w:cs="Avenir" w:eastAsia="Avenir" w:hAnsi="Avenir"/>
          <w:color w:val="3c3f42"/>
          <w:sz w:val="15"/>
          <w:szCs w:val="15"/>
          <w:rtl w:val="0"/>
        </w:rPr>
        <w:t xml:space="preserve">FMOp)</w:t>
      </w:r>
      <w:r w:rsidDel="00000000" w:rsidR="00000000" w:rsidRPr="00000000">
        <w:rPr>
          <w:rFonts w:ascii="Avenir" w:cs="Avenir" w:eastAsia="Avenir" w:hAnsi="Avenir"/>
          <w:color w:val="3c3f42"/>
          <w:sz w:val="15"/>
          <w:szCs w:val="15"/>
          <w:rtl w:val="0"/>
        </w:rPr>
        <w:t xml:space="preserve">, to manage data quality, detect drift, and maintain alignment across hundreds of specialist models running simultaneously [11,14]. </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Barua DA. Leveraging artificial intelligence for smart production management. Scientific Reports. 2025. Accessed March 1, 2026. </w:t>
      </w:r>
      <w:r w:rsidDel="00000000" w:rsidR="00000000" w:rsidRPr="00000000">
        <w:rPr>
          <w:rFonts w:ascii="Avenir" w:cs="Avenir" w:eastAsia="Avenir" w:hAnsi="Avenir"/>
          <w:color w:val="0e101a"/>
          <w:sz w:val="15"/>
          <w:szCs w:val="15"/>
          <w:rtl w:val="0"/>
        </w:rPr>
        <w:t xml:space="preserve">https://pmc.ncbi.nlm.nih.gov/articles/PMC12644757/</w:t>
      </w:r>
      <w:r w:rsidDel="00000000" w:rsidR="00000000" w:rsidRPr="00000000">
        <w:rPr>
          <w:rFonts w:ascii="Avenir" w:cs="Avenir" w:eastAsia="Avenir" w:hAnsi="Avenir"/>
          <w:color w:val="0e101a"/>
          <w:sz w:val="15"/>
          <w:szCs w:val="15"/>
          <w:rtl w:val="0"/>
        </w:rPr>
        <w:t xml:space="preserve"> [1]</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5"/>
          <w:szCs w:val="15"/>
          <w:u w:val="none"/>
        </w:rPr>
      </w:pPr>
      <w:r w:rsidDel="00000000" w:rsidR="00000000" w:rsidRPr="00000000">
        <w:rPr>
          <w:rFonts w:ascii="Avenir" w:cs="Avenir" w:eastAsia="Avenir" w:hAnsi="Avenir"/>
          <w:color w:val="0e101a"/>
          <w:sz w:val="15"/>
          <w:szCs w:val="15"/>
          <w:rtl w:val="0"/>
        </w:rPr>
        <w:t xml:space="preserve">Hector I, Panjanathan R. Predictive maintenance in Industry 4.0: a survey of planning models and machine learning techniques. PeerJ Computer Science. 2024;10:e2016. Accessed March 1, 2026. </w:t>
      </w:r>
      <w:r w:rsidDel="00000000" w:rsidR="00000000" w:rsidRPr="00000000">
        <w:rPr>
          <w:rFonts w:ascii="Avenir" w:cs="Avenir" w:eastAsia="Avenir" w:hAnsi="Avenir"/>
          <w:color w:val="0e101a"/>
          <w:sz w:val="15"/>
          <w:szCs w:val="15"/>
          <w:rtl w:val="0"/>
        </w:rPr>
        <w:t xml:space="preserve">https://pmc.ncbi.nlm.nih.gov/</w:t>
      </w:r>
      <w:r w:rsidDel="00000000" w:rsidR="00000000" w:rsidRPr="00000000">
        <w:rPr>
          <w:rFonts w:ascii="Avenir" w:cs="Avenir" w:eastAsia="Avenir" w:hAnsi="Avenir"/>
          <w:sz w:val="15"/>
          <w:szCs w:val="15"/>
          <w:rtl w:val="0"/>
        </w:rPr>
        <w:t xml:space="preserve">articles</w:t>
      </w:r>
      <w:r w:rsidDel="00000000" w:rsidR="00000000" w:rsidRPr="00000000">
        <w:rPr>
          <w:rFonts w:ascii="Avenir" w:cs="Avenir" w:eastAsia="Avenir" w:hAnsi="Avenir"/>
          <w:sz w:val="15"/>
          <w:szCs w:val="15"/>
          <w:rtl w:val="0"/>
        </w:rPr>
        <w:t xml:space="preserve">/PMC11157603/</w:t>
      </w:r>
      <w:r w:rsidDel="00000000" w:rsidR="00000000" w:rsidRPr="00000000">
        <w:rPr>
          <w:rFonts w:ascii="Avenir" w:cs="Avenir" w:eastAsia="Avenir" w:hAnsi="Avenir"/>
          <w:color w:val="0e101a"/>
          <w:sz w:val="15"/>
          <w:szCs w:val="15"/>
          <w:rtl w:val="0"/>
        </w:rPr>
        <w:t xml:space="preserve"> [2]</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World Economic Forum. Physical AI: Powering the New Age of Industrial Operations. WEF; 2025. Accessed March 8, 2026. </w:t>
      </w:r>
      <w:r w:rsidDel="00000000" w:rsidR="00000000" w:rsidRPr="00000000">
        <w:rPr>
          <w:rFonts w:ascii="Avenir" w:cs="Avenir" w:eastAsia="Avenir" w:hAnsi="Avenir"/>
          <w:color w:val="0e101a"/>
          <w:sz w:val="15"/>
          <w:szCs w:val="15"/>
          <w:rtl w:val="0"/>
        </w:rPr>
        <w:t xml:space="preserve">https://reports.weforum.org/docs/WEF_Physical_AI_Powering_the_New_Age_of_Industrial_Operations_2025.pdf</w:t>
      </w:r>
      <w:r w:rsidDel="00000000" w:rsidR="00000000" w:rsidRPr="00000000">
        <w:rPr>
          <w:rFonts w:ascii="Avenir" w:cs="Avenir" w:eastAsia="Avenir" w:hAnsi="Avenir"/>
          <w:color w:val="0e101a"/>
          <w:sz w:val="15"/>
          <w:szCs w:val="15"/>
          <w:rtl w:val="0"/>
        </w:rPr>
        <w:t xml:space="preserve"> (From T4, covers the new production paradigm with sensing, reasoning, adapting) [3]</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Shi W, Cao J, Zhang Q, Li Y, Xu L. Edge computing: vision and challenges. IEEE Internet of Things Journal. 2016;3(5):637-646. Accessed March 6, 2026. </w:t>
      </w:r>
      <w:r w:rsidDel="00000000" w:rsidR="00000000" w:rsidRPr="00000000">
        <w:rPr>
          <w:rFonts w:ascii="Avenir" w:cs="Avenir" w:eastAsia="Avenir" w:hAnsi="Avenir"/>
          <w:color w:val="0e101a"/>
          <w:sz w:val="15"/>
          <w:szCs w:val="15"/>
          <w:rtl w:val="0"/>
        </w:rPr>
        <w:t xml:space="preserve">https://doi.org/10.1109/JIOT.2016.2579198</w:t>
      </w:r>
      <w:r w:rsidDel="00000000" w:rsidR="00000000" w:rsidRPr="00000000">
        <w:rPr>
          <w:rFonts w:ascii="Avenir" w:cs="Avenir" w:eastAsia="Avenir" w:hAnsi="Avenir"/>
          <w:color w:val="0e101a"/>
          <w:sz w:val="15"/>
          <w:szCs w:val="15"/>
          <w:rtl w:val="0"/>
        </w:rPr>
        <w:t xml:space="preserve"> [4]</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McKinsey and Company. Manufacturing analytics unleashes productivity and profitability. McKinsey and Company. Published August 14, 2017. Accessed March 1, 2026. </w:t>
      </w:r>
      <w:hyperlink r:id="rId6">
        <w:r w:rsidDel="00000000" w:rsidR="00000000" w:rsidRPr="00000000">
          <w:rPr>
            <w:rFonts w:ascii="Avenir" w:cs="Avenir" w:eastAsia="Avenir" w:hAnsi="Avenir"/>
            <w:color w:val="1155cc"/>
            <w:sz w:val="15"/>
            <w:szCs w:val="15"/>
            <w:u w:val="single"/>
            <w:rtl w:val="0"/>
          </w:rPr>
          <w:t xml:space="preserve">https://www.mckinsey.com/capabilities/operations/our-insights/manufacturing-analytics-unleashes-productivity-and-profitability</w:t>
        </w:r>
      </w:hyperlink>
      <w:r w:rsidDel="00000000" w:rsidR="00000000" w:rsidRPr="00000000">
        <w:rPr>
          <w:rFonts w:ascii="Avenir" w:cs="Avenir" w:eastAsia="Avenir" w:hAnsi="Avenir"/>
          <w:color w:val="0e101a"/>
          <w:sz w:val="15"/>
          <w:szCs w:val="15"/>
          <w:rtl w:val="0"/>
        </w:rPr>
        <w:t xml:space="preserve"> [5]</w:t>
      </w:r>
      <w:r w:rsidDel="00000000" w:rsidR="00000000" w:rsidRPr="00000000">
        <w:rPr>
          <w:rtl w:val="0"/>
        </w:rPr>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Siemens. Readiness for Predictive Maintenance at Scale: 2023 Report. Siemens; 2023. Accessed March 1, 2026. </w:t>
      </w:r>
      <w:r w:rsidDel="00000000" w:rsidR="00000000" w:rsidRPr="00000000">
        <w:rPr>
          <w:rFonts w:ascii="Avenir" w:cs="Avenir" w:eastAsia="Avenir" w:hAnsi="Avenir"/>
          <w:color w:val="0e101a"/>
          <w:sz w:val="15"/>
          <w:szCs w:val="15"/>
          <w:rtl w:val="0"/>
        </w:rPr>
        <w:t xml:space="preserve">https://assets.new.siemens.com/siemens/assets/api/uuid:8ee59c19-1c37-4516-a290-2844096f1cff/Readiness-Report-2023_original.pdf</w:t>
      </w:r>
      <w:r w:rsidDel="00000000" w:rsidR="00000000" w:rsidRPr="00000000">
        <w:rPr>
          <w:rFonts w:ascii="Avenir" w:cs="Avenir" w:eastAsia="Avenir" w:hAnsi="Avenir"/>
          <w:color w:val="0e101a"/>
          <w:sz w:val="15"/>
          <w:szCs w:val="15"/>
          <w:rtl w:val="0"/>
        </w:rPr>
        <w:t xml:space="preserve"> [6]</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Verma A, Prasad VK, Kumari A, et al. Industry 6.0: Vision, technical landscape, and opportunities. </w:t>
      </w:r>
      <w:r w:rsidDel="00000000" w:rsidR="00000000" w:rsidRPr="00000000">
        <w:rPr>
          <w:rFonts w:ascii="Avenir" w:cs="Avenir" w:eastAsia="Avenir" w:hAnsi="Avenir"/>
          <w:i w:val="1"/>
          <w:iCs w:val="1"/>
          <w:color w:val="0e101a"/>
          <w:sz w:val="15"/>
          <w:szCs w:val="15"/>
          <w:rtl w:val="0"/>
        </w:rPr>
        <w:t xml:space="preserve">Alexandria Engineering Journal</w:t>
      </w:r>
      <w:r w:rsidDel="00000000" w:rsidR="00000000" w:rsidRPr="00000000">
        <w:rPr>
          <w:rFonts w:ascii="Avenir" w:cs="Avenir" w:eastAsia="Avenir" w:hAnsi="Avenir"/>
          <w:color w:val="0e101a"/>
          <w:sz w:val="15"/>
          <w:szCs w:val="15"/>
          <w:rtl w:val="0"/>
        </w:rPr>
        <w:t xml:space="preserve">. 2025;130:139-174. doi:</w:t>
      </w:r>
      <w:hyperlink r:id="rId7">
        <w:r w:rsidDel="00000000" w:rsidR="00000000" w:rsidRPr="00000000">
          <w:rPr>
            <w:rFonts w:ascii="Avenir" w:cs="Avenir" w:eastAsia="Avenir" w:hAnsi="Avenir"/>
            <w:color w:val="1155cc"/>
            <w:sz w:val="15"/>
            <w:szCs w:val="15"/>
            <w:u w:val="single"/>
            <w:rtl w:val="0"/>
          </w:rPr>
          <w:t xml:space="preserve">10.1016/j.aej.2025.08.040</w:t>
        </w:r>
      </w:hyperlink>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Alqoud A, Schaefer D, Milisavljevic-Syed J. Industry 4.0: Challenges and Opportunities of Digitalisation Manufacturing Systems. In: 2022. doi:</w:t>
      </w:r>
      <w:hyperlink r:id="rId8">
        <w:r w:rsidDel="00000000" w:rsidR="00000000" w:rsidRPr="00000000">
          <w:rPr>
            <w:rFonts w:ascii="Avenir" w:cs="Avenir" w:eastAsia="Avenir" w:hAnsi="Avenir"/>
            <w:color w:val="1155cc"/>
            <w:sz w:val="15"/>
            <w:szCs w:val="15"/>
            <w:u w:val="single"/>
            <w:rtl w:val="0"/>
          </w:rPr>
          <w:t xml:space="preserve">10.3233/ATDE220560</w:t>
        </w:r>
      </w:hyperlink>
      <w:r w:rsidDel="00000000" w:rsidR="00000000" w:rsidRPr="00000000">
        <w:rPr>
          <w:rtl w:val="0"/>
        </w:rPr>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Thakur A, Kaipa K, Banerjee AG, et al. Physical AI for powering the next revolution in robotics. Journal of Computing and Information Science in Engineering. 2025;25(12). doi:10.1115/1.4070122. Accessed March 8, 2026. </w:t>
      </w:r>
      <w:r w:rsidDel="00000000" w:rsidR="00000000" w:rsidRPr="00000000">
        <w:rPr>
          <w:rFonts w:ascii="Avenir" w:cs="Avenir" w:eastAsia="Avenir" w:hAnsi="Avenir"/>
          <w:color w:val="0e101a"/>
          <w:sz w:val="15"/>
          <w:szCs w:val="15"/>
          <w:rtl w:val="0"/>
        </w:rPr>
        <w:t xml:space="preserve">https://www.researchgate.net/publication/396400839</w:t>
      </w:r>
      <w:r w:rsidDel="00000000" w:rsidR="00000000" w:rsidRPr="00000000">
        <w:rPr>
          <w:rFonts w:ascii="Avenir" w:cs="Avenir" w:eastAsia="Avenir" w:hAnsi="Avenir"/>
          <w:color w:val="0e101a"/>
          <w:sz w:val="15"/>
          <w:szCs w:val="15"/>
          <w:rtl w:val="0"/>
        </w:rPr>
        <w:t xml:space="preserve"> [9] </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McKinsey and Company. Improving productivity in low-volume, high-complexity manufacturing. McKinsey and Company. Published July 17, 2024. Accessed March 8, 2026. </w:t>
      </w:r>
      <w:hyperlink r:id="rId9">
        <w:r w:rsidDel="00000000" w:rsidR="00000000" w:rsidRPr="00000000">
          <w:rPr>
            <w:rFonts w:ascii="Avenir" w:cs="Avenir" w:eastAsia="Avenir" w:hAnsi="Avenir"/>
            <w:color w:val="1155cc"/>
            <w:sz w:val="15"/>
            <w:szCs w:val="15"/>
            <w:u w:val="single"/>
            <w:rtl w:val="0"/>
          </w:rPr>
          <w:t xml:space="preserve">https://www.mckinsey.com/industries/aerospace-and-defense/our-insights/improving-productivity-in-low-volume-high-complexity-manufacturing</w:t>
        </w:r>
      </w:hyperlink>
      <w:r w:rsidDel="00000000" w:rsidR="00000000" w:rsidRPr="00000000">
        <w:rPr>
          <w:rFonts w:ascii="Avenir" w:cs="Avenir" w:eastAsia="Avenir" w:hAnsi="Avenir"/>
          <w:color w:val="0e101a"/>
          <w:sz w:val="15"/>
          <w:szCs w:val="15"/>
          <w:rtl w:val="0"/>
        </w:rPr>
        <w:t xml:space="preserve"> [10] </w:t>
      </w:r>
      <w:r w:rsidDel="00000000" w:rsidR="00000000" w:rsidRPr="00000000">
        <w:rPr>
          <w:rtl w:val="0"/>
        </w:rPr>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Ayyat M, Osman M, Nadeem T. Opportunities and challenges of foundation models in industrial manufacturing. IEEE Access. 2025;13:138745-138775. Accessed March 2, 2026. </w:t>
      </w:r>
      <w:hyperlink r:id="rId10">
        <w:r w:rsidDel="00000000" w:rsidR="00000000" w:rsidRPr="00000000">
          <w:rPr>
            <w:rFonts w:ascii="Avenir" w:cs="Avenir" w:eastAsia="Avenir" w:hAnsi="Avenir"/>
            <w:color w:val="1155cc"/>
            <w:sz w:val="15"/>
            <w:szCs w:val="15"/>
            <w:u w:val="single"/>
            <w:rtl w:val="0"/>
          </w:rPr>
          <w:t xml:space="preserve">https://doi.org/10.1109/ACCESS.2025.3589777</w:t>
        </w:r>
      </w:hyperlink>
      <w:r w:rsidDel="00000000" w:rsidR="00000000" w:rsidRPr="00000000">
        <w:rPr>
          <w:rFonts w:ascii="Avenir" w:cs="Avenir" w:eastAsia="Avenir" w:hAnsi="Avenir"/>
          <w:color w:val="0e101a"/>
          <w:sz w:val="15"/>
          <w:szCs w:val="15"/>
          <w:rtl w:val="0"/>
        </w:rPr>
        <w:t xml:space="preserve"> [11] </w:t>
      </w:r>
      <w:r w:rsidDel="00000000" w:rsidR="00000000" w:rsidRPr="00000000">
        <w:rPr>
          <w:rtl w:val="0"/>
        </w:rPr>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Ren L, et al. Foundation models for the process industry: challenges and opportunities. Engineering. 2025;52:53-59. Accessed March 2, 2026. </w:t>
      </w:r>
      <w:r w:rsidDel="00000000" w:rsidR="00000000" w:rsidRPr="00000000">
        <w:rPr>
          <w:rFonts w:ascii="Avenir" w:cs="Avenir" w:eastAsia="Avenir" w:hAnsi="Avenir"/>
          <w:color w:val="0e101a"/>
          <w:sz w:val="15"/>
          <w:szCs w:val="15"/>
          <w:rtl w:val="0"/>
        </w:rPr>
        <w:t xml:space="preserve">https://doi.org/10.1016/j.eng.2025.03.023</w:t>
      </w:r>
      <w:r w:rsidDel="00000000" w:rsidR="00000000" w:rsidRPr="00000000">
        <w:rPr>
          <w:rFonts w:ascii="Avenir" w:cs="Avenir" w:eastAsia="Avenir" w:hAnsi="Avenir"/>
          <w:color w:val="0e101a"/>
          <w:sz w:val="15"/>
          <w:szCs w:val="15"/>
          <w:rtl w:val="0"/>
        </w:rPr>
        <w:t xml:space="preserve"> [12] </w:t>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Azeta J, Omeche TT, Daniyan I, et al. Artificial intelligence and robotics in predictive maintenance: a comprehensive review. Frontiers in Mechanical Engineering. 2026;11:1722114. doi:10.3389/fmech.2025.1722114. </w:t>
      </w:r>
      <w:r w:rsidDel="00000000" w:rsidR="00000000" w:rsidRPr="00000000">
        <w:rPr>
          <w:rFonts w:ascii="Avenir" w:cs="Avenir" w:eastAsia="Avenir" w:hAnsi="Avenir"/>
          <w:color w:val="0e101a"/>
          <w:sz w:val="15"/>
          <w:szCs w:val="15"/>
          <w:rtl w:val="0"/>
        </w:rPr>
        <w:t xml:space="preserve">https://www.frontiersin.org/journals/mechanical-engineering/articles/10.3389/fmech.2025.1722114/full</w:t>
      </w:r>
      <w:r w:rsidDel="00000000" w:rsidR="00000000" w:rsidRPr="00000000">
        <w:rPr>
          <w:rFonts w:ascii="Avenir" w:cs="Avenir" w:eastAsia="Avenir" w:hAnsi="Avenir"/>
          <w:color w:val="0e101a"/>
          <w:sz w:val="15"/>
          <w:szCs w:val="15"/>
          <w:rtl w:val="0"/>
        </w:rPr>
        <w:t xml:space="preserve"> [13] </w:t>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color w:val="0e101a"/>
          <w:sz w:val="15"/>
          <w:szCs w:val="15"/>
          <w:u w:val="none"/>
        </w:rPr>
      </w:pPr>
      <w:r w:rsidDel="00000000" w:rsidR="00000000" w:rsidRPr="00000000">
        <w:rPr>
          <w:rFonts w:ascii="Avenir" w:cs="Avenir" w:eastAsia="Avenir" w:hAnsi="Avenir"/>
          <w:color w:val="0e101a"/>
          <w:sz w:val="15"/>
          <w:szCs w:val="15"/>
          <w:rtl w:val="0"/>
        </w:rPr>
        <w:t xml:space="preserve">Tantithamthavorn CK, Palomba F, Khomh F, Chua JJ. MLOps, LLMOps, FMOps, and beyond. IEEE Software. 2025;42(1):26-32. Accessed March 8, 2026. </w:t>
      </w:r>
      <w:r w:rsidDel="00000000" w:rsidR="00000000" w:rsidRPr="00000000">
        <w:rPr>
          <w:rFonts w:ascii="Avenir" w:cs="Avenir" w:eastAsia="Avenir" w:hAnsi="Avenir"/>
          <w:color w:val="0e101a"/>
          <w:sz w:val="15"/>
          <w:szCs w:val="15"/>
          <w:rtl w:val="0"/>
        </w:rPr>
        <w:t xml:space="preserve">https://doi.org/10.1109/MS.2024.3477014</w:t>
      </w:r>
      <w:r w:rsidDel="00000000" w:rsidR="00000000" w:rsidRPr="00000000">
        <w:rPr>
          <w:rFonts w:ascii="Avenir" w:cs="Avenir" w:eastAsia="Avenir" w:hAnsi="Avenir"/>
          <w:color w:val="0e101a"/>
          <w:sz w:val="15"/>
          <w:szCs w:val="15"/>
          <w:rtl w:val="0"/>
        </w:rPr>
        <w:t xml:space="preserve"> [14] </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oi.org/10.1109/ACCESS.2025.3589777" TargetMode="External"/><Relationship Id="rId9" Type="http://schemas.openxmlformats.org/officeDocument/2006/relationships/hyperlink" Target="https://www.mckinsey.com/industries/aerospace-and-defense/our-insights/improving-productivity-in-low-volume-high-complexity-manufacturing" TargetMode="External"/><Relationship Id="rId5" Type="http://schemas.openxmlformats.org/officeDocument/2006/relationships/styles" Target="styles.xml"/><Relationship Id="rId6" Type="http://schemas.openxmlformats.org/officeDocument/2006/relationships/hyperlink" Target="https://www.mckinsey.com/capabilities/operations/our-insights/manufacturing-analytics-unleashes-productivity-and-profitability" TargetMode="External"/><Relationship Id="rId7" Type="http://schemas.openxmlformats.org/officeDocument/2006/relationships/hyperlink" Target="https://doi.org/10.1016/j.aej.2025.08.040" TargetMode="External"/><Relationship Id="rId8" Type="http://schemas.openxmlformats.org/officeDocument/2006/relationships/hyperlink" Target="https://doi.org/10.3233/ATDE2205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