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LEVERAGING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HUMAN-MACHINE HANDOFFS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Refining the Interaction Layer Between Humans and Intelligent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As Industrial AI increasingly expands from analysis into operations, a new bottleneck emerges. In automated production lines, the transfer of control and context between systems and humans has become a source of friction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[415, 416]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>. Most handoffs today are binary, meaning a system completes a task for human review or fails and returns control [416, 417]. Workers usually lack the context they need to make a good evaluation and must reconstruct the system's actions before they can act [417, 418].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>When humans oversee AI systems, they may fail to detect inaccurate outputs, especially when oversight is difficult or signals are hard to interpret [417]. Reviews of Human-AI collaboration show that automation bias can lead people to accept system recommendations too readily or intervene ineffectively [418].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>This all-or-nothing division of roles could be replaced with systems that use fluid levels of autonomy, where independence is adjusted based on factors like risk [438].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Well-informed, timely human intervention can provide correction before full takeover is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necessar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y [439]. Context can be delivered using cues that suit physical applications better than screens and chat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interface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 [423]. Smooth handoffs can improve uptime, reduce maintenance effort, and increase automation adoption [438].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As automation increases in physical operations, transition quality may become important in determining how far automation can go.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The interaction layer would thus become a core part of industrial AI system performance.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2b2b2b"/>
          <w:sz w:val="14"/>
          <w:szCs w:val="14"/>
          <w:rtl w:val="0"/>
        </w:rPr>
        <w:t xml:space="preserve">“The interesting shift is not just better robots, but figuring out how humans and machines can interact better.”</w:t>
      </w:r>
      <w:r w:rsidDel="00000000" w:rsidR="00000000" w:rsidRPr="00000000">
        <w:rPr>
          <w:rFonts w:ascii="Avenir" w:cs="Avenir" w:eastAsia="Avenir" w:hAnsi="Avenir"/>
          <w:b w:val="1"/>
          <w:bCs w:val="1"/>
          <w:i w:val="1"/>
          <w:iCs w:val="1"/>
          <w:color w:val="2b2b2b"/>
          <w:sz w:val="14"/>
          <w:szCs w:val="14"/>
          <w:rtl w:val="0"/>
        </w:rPr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Partner at Venture Capital Firm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2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doi.org/10.3389/frobt.2025.1540476" TargetMode="External"/><Relationship Id="rId10" Type="http://schemas.openxmlformats.org/officeDocument/2006/relationships/hyperlink" Target="https://doi.org/10.3390/electronics14153125" TargetMode="External"/><Relationship Id="rId12" Type="http://schemas.openxmlformats.org/officeDocument/2006/relationships/header" Target="header1.xml"/><Relationship Id="rId9" Type="http://schemas.openxmlformats.org/officeDocument/2006/relationships/hyperlink" Target="http://doi.org/10.1007/s00146-025-02422-7" TargetMode="External"/><Relationship Id="rId5" Type="http://schemas.openxmlformats.org/officeDocument/2006/relationships/styles" Target="styles.xml"/><Relationship Id="rId6" Type="http://schemas.openxmlformats.org/officeDocument/2006/relationships/hyperlink" Target="https://press.siemens.com/global/en/pressrelease/siemens-introduces-ai-agents-industrial-automation" TargetMode="External"/><Relationship Id="rId7" Type="http://schemas.openxmlformats.org/officeDocument/2006/relationships/hyperlink" Target="http://doi.org/10.1007/s11740-025-01416-0" TargetMode="External"/><Relationship Id="rId8" Type="http://schemas.openxmlformats.org/officeDocument/2006/relationships/hyperlink" Target="http://doi.org/10.1007/s11023-024-09701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