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SYNTHETIC DATA GENERATION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ff0000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Designing Real and Synthetic Data Streams as a Competitive Asset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Industrial AI systems requ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>ire large volumes of high-quality, representative operational data, as model accuracy and reliability are determined by the quality, completeness, and relevance of the training data [390, 394]. In practice, data is scarce, expensive to label, and often misaligned with the model's needs [390].</w:t>
      </w:r>
      <w:r w:rsidDel="00000000" w:rsidR="00000000" w:rsidRPr="00000000">
        <w:rPr>
          <w:rFonts w:ascii="Avenir" w:cs="Avenir" w:eastAsia="Avenir" w:hAnsi="Avenir"/>
          <w:sz w:val="15"/>
          <w:szCs w:val="15"/>
          <w:vertAlign w:val="superscript"/>
          <w:rtl w:val="0"/>
        </w:rPr>
        <w:t xml:space="preserve"> 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Critical events such as equipment failures or abnormal operating regimes are the exception and rarely yield representative training datasets, leaving models dominated by normal operating conditions [395, 396]. 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Synthetic data generation directly addresses these structural constraints [390, 395]. Digital twins, physics-based simulations, and generative models can produce datasets covering rare faults and degradation trajectories without risking equipment or exposing sensitive information [394, 397]. In fact, object detection models trained solely on synthetic data can already outperform models trained on real images in 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multiple visual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quality inspection scenarios [398].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Augmenting real data with synthetic data improves prediction accuracy, increases robustness, and enables safer pre-deployment testing in uptime-critical environments, creating a significant competitive advantage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 [398, 399]. However, effective governance remains essential as synthetic data must mirror real process constraints to avoid privacy, bias, and coverage risks [390, 400].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commentRangeStart w:id="0"/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“Sometimes, we need to generate extra data to create the digital twin of machines because we have data missing.“ - Quality Manager, Electronics and Software, </w:t>
      </w:r>
      <w:r w:rsidDel="00000000" w:rsidR="00000000" w:rsidRPr="00000000">
        <w:rPr>
          <w:rFonts w:ascii="Avenir" w:cs="Avenir" w:eastAsia="Avenir" w:hAnsi="Avenir"/>
          <w:sz w:val="15"/>
          <w:szCs w:val="15"/>
          <w:rtl w:val="0"/>
        </w:rPr>
        <w:t xml:space="preserve">Siemens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Ava Mack" w:id="0" w:date="2026-03-31T14:33:16Z"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for all of the quotes we should think how we deal with the low quality/missing ones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yperlink" Target="https://www.cnil.fr/en/ai-system-development-cnils-recommendations-to-comply-gdpr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www.nvidia.com/en-us/use-cases/synthetic-data-physical-ai/" TargetMode="External"/><Relationship Id="rId8" Type="http://schemas.openxmlformats.org/officeDocument/2006/relationships/hyperlink" Target="https://www.nvidia.com/en-us/use-cases/synthetic-data-physical-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