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PRIVACY-PRESERVING REPRESENTATION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120" w:line="240" w:lineRule="auto"/>
        <w:jc w:val="both"/>
        <w:rPr>
          <w:rFonts w:ascii="Avenir" w:cs="Avenir" w:eastAsia="Avenir" w:hAnsi="Avenir"/>
          <w:sz w:val="15"/>
          <w:szCs w:val="15"/>
        </w:rPr>
      </w:pPr>
      <w:r w:rsidDel="00000000" w:rsidR="00000000" w:rsidRPr="00000000">
        <w:rPr>
          <w:rFonts w:ascii="Avenir" w:cs="Avenir" w:eastAsia="Avenir" w:hAnsi="Avenir"/>
          <w:sz w:val="18"/>
          <w:szCs w:val="18"/>
          <w:rtl w:val="0"/>
        </w:rPr>
        <w:t xml:space="preserve">Designing Industrial Data for Safe Federation Before the Protection Layer is Reached</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Federated learning has emerged as a promising framework enabling competing industrial organisations to collaborate on AI model development without exchanging </w:t>
      </w:r>
      <w:r w:rsidDel="00000000" w:rsidR="00000000" w:rsidRPr="00000000">
        <w:rPr>
          <w:rFonts w:ascii="Avenir" w:cs="Avenir" w:eastAsia="Avenir" w:hAnsi="Avenir"/>
          <w:sz w:val="15"/>
          <w:szCs w:val="15"/>
          <w:rtl w:val="0"/>
        </w:rPr>
        <w:t>raw operational data [401, 402, 403]</w:t>
      </w:r>
      <w:r w:rsidDel="00000000" w:rsidR="00000000" w:rsidRPr="00000000">
        <w:rPr>
          <w:rFonts w:ascii="Avenir" w:cs="Avenir" w:eastAsia="Avenir" w:hAnsi="Avenir"/>
          <w:sz w:val="15"/>
          <w:szCs w:val="15"/>
          <w:rtl w:val="0"/>
        </w:rPr>
        <w:t xml:space="preserve"> Techniques like gradient inversion have demonstrated that the model updates exchanged in federated learning carry sufficient information to reconstruct the private data from which they were derived, even when secure aggregation is active across large client federations [404, 405, 406] This vulnerability has been empirically extended to industrial time-series data, the dominant format in manufacturing and process industries [407]. </w:t>
      </w:r>
      <w:r w:rsidDel="00000000" w:rsidR="00000000" w:rsidRPr="00000000">
        <w:rPr>
          <w:rFonts w:ascii="Avenir" w:cs="Avenir" w:eastAsia="Avenir" w:hAnsi="Avenir"/>
          <w:sz w:val="15"/>
          <w:szCs w:val="15"/>
          <w:rtl w:val="0"/>
        </w:rPr>
        <w:t>Existing countermeasures, such as differential privacy, homomorphic encryption, and secure multi-party computation, address this issue at the protocol layer, yet each introduces utility costs that compound in operational industrial deployments  [408]..</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A distinct opportunity emerges from where the structural problem originates. Industrial data is collected and processed for operational purposes, not for federation, and consequently encodes far more individual-sample information than any training objective demands [404, 409]. Sector-specific methods for transforming operational data into representations that retain model-relevant structure while reducing gradient reconstructability are largely absent across energy, manufacturing, and pharmaceutical industries [402, 407], leaving a significant and largely unaddressed gap in the field.</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“FL systems have achieved substantial progress […] However, key challenges remain, including verifying server-side DP guarantees [410].” - H. Brendan McMahan et al., Google Research </w:t>
      </w:r>
      <w:r w:rsidDel="00000000" w:rsidR="00000000" w:rsidRPr="00000000">
        <w:rPr>
          <w:rFonts w:ascii="Avenir" w:cs="Avenir" w:eastAsia="Avenir" w:hAnsi="Avenir"/>
          <w:sz w:val="15"/>
          <w:szCs w:val="15"/>
          <w:rtl w:val="0"/>
        </w:rPr>
        <w:t xml:space="preserve">(inventor of federated learning, 2024)</w:t>
      </w: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