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color w:val="5b9bd5"/>
          <w:sz w:val="24"/>
          <w:szCs w:val="24"/>
        </w:rPr>
      </w:pPr>
      <w:r w:rsidDel="00000000" w:rsidR="00000000" w:rsidRPr="00000000">
        <w:rPr>
          <w:b w:val="1"/>
          <w:bCs w:val="1"/>
          <w:color w:val="5b9bd5"/>
          <w:sz w:val="24"/>
          <w:szCs w:val="24"/>
          <w:rtl w:val="0"/>
        </w:rPr>
        <w:t xml:space="preserve">BRIDGING MACHINE DATA AND INSURANCE CLAIMS</w:t>
      </w:r>
      <w:r w:rsidDel="00000000" w:rsidR="00000000" w:rsidRPr="00000000">
        <w:rPr>
          <w:rtl w:val="0"/>
        </w:rPr>
      </w:r>
    </w:p>
    <w:p w:rsidR="00000000" w:rsidDel="00000000" w:rsidP="00000000" w:rsidRDefault="00000000" w:rsidRPr="00000000" w14:paraId="00000002">
      <w:pPr>
        <w:spacing w:line="240" w:lineRule="auto"/>
        <w:rPr>
          <w:color w:val="000000"/>
          <w:sz w:val="18"/>
          <w:szCs w:val="18"/>
        </w:rPr>
      </w:pPr>
      <w:r w:rsidDel="00000000" w:rsidR="00000000" w:rsidRPr="00000000">
        <w:rPr>
          <w:color w:val="000000"/>
          <w:sz w:val="18"/>
          <w:szCs w:val="18"/>
          <w:rtl w:val="0"/>
        </w:rPr>
        <w:t xml:space="preserve">Standardizing machine-generated data for faster, fairer coverage decisions</w:t>
      </w:r>
    </w:p>
    <w:p w:rsidR="00000000" w:rsidDel="00000000" w:rsidP="00000000" w:rsidRDefault="00000000" w:rsidRPr="00000000" w14:paraId="00000003">
      <w:pPr>
        <w:spacing w:line="240" w:lineRule="auto"/>
        <w:rPr/>
      </w:pPr>
      <w:r w:rsidDel="00000000" w:rsidR="00000000" w:rsidRPr="00000000">
        <w:rPr>
          <w:rtl w:val="0"/>
        </w:rPr>
      </w:r>
    </w:p>
    <w:p w:rsidR="00000000" w:rsidDel="00000000" w:rsidP="00000000" w:rsidRDefault="00000000" w:rsidRPr="00000000" w14:paraId="00000004">
      <w:pPr>
        <w:spacing w:line="240" w:lineRule="auto"/>
        <w:rPr>
          <w:sz w:val="14"/>
          <w:szCs w:val="14"/>
        </w:rPr>
      </w:pPr>
      <w:r w:rsidDel="00000000" w:rsidR="00000000" w:rsidRPr="00000000">
        <w:rPr>
          <w:sz w:val="14"/>
          <w:szCs w:val="14"/>
          <w:rtl w:val="0"/>
        </w:rPr>
        <w:t>Machine-generated operational data in industrial settings, capturing vibrations, thermal shifts, and maintenance events in real time, is increasing in volume [451]. Yet, insurance claim resolution remains largely dependent on manual processes [452]</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05">
      <w:pPr>
        <w:spacing w:line="240" w:lineRule="auto"/>
        <w:rPr>
          <w:sz w:val="14"/>
          <w:szCs w:val="14"/>
        </w:rPr>
      </w:pPr>
      <w:r w:rsidDel="00000000" w:rsidR="00000000" w:rsidRPr="00000000">
        <w:rPr>
          <w:sz w:val="14"/>
          <w:szCs w:val="14"/>
          <w:rtl w:val="0"/>
        </w:rPr>
        <w:t xml:space="preserve">When a machine failure occurs</w:t>
      </w:r>
      <w:r w:rsidDel="00000000" w:rsidR="00000000" w:rsidRPr="00000000">
        <w:rPr>
          <w:sz w:val="14"/>
          <w:szCs w:val="14"/>
          <w:rtl w:val="0"/>
        </w:rPr>
        <w:t xml:space="preserve">,</w:t>
      </w:r>
      <w:r w:rsidDel="00000000" w:rsidR="00000000" w:rsidRPr="00000000">
        <w:rPr>
          <w:sz w:val="14"/>
          <w:szCs w:val="14"/>
          <w:rtl w:val="0"/>
        </w:rPr>
        <w:t xml:space="preserve"> the coverage decision rests on multiple factors: the cause of the failure, whether maintenance obligations were met, and whether the event qualifies as sudden and unforeseen under the applicable policy terms</w:t>
      </w:r>
      <w:r w:rsidDel="00000000" w:rsidR="00000000" w:rsidRPr="00000000">
        <w:rPr>
          <w:sz w:val="14"/>
          <w:szCs w:val="14"/>
          <w:rtl w:val="0"/>
        </w:rPr>
        <w:t xml:space="preserve"> [451, 453]. Traditionally, loss adjusters respond by scheduling site visits, requesting documentation, and commissioning forensic engineers for ambiguous cases [451, 454]</w:t>
      </w:r>
      <w:r w:rsidDel="00000000" w:rsidR="00000000" w:rsidRPr="00000000">
        <w:rPr>
          <w:sz w:val="14"/>
          <w:szCs w:val="14"/>
          <w:rtl w:val="0"/>
        </w:rPr>
        <w:t>A primary bottleneck in this process is not a lack of data but a lack of usable evidence. Manufacturers rarely possess the structured, reliable documentation that adjusters require for a decision [455]. Predictive maintenance platforms already collect much of the underlying information, and with appropriate interpretation and formatting, this data could answer the core questions an adjuster is concerned with [456, 457, 458, 459]. Yet, before it can serve as evidence, raw sensor output must be translated into coherent failure narratives, timestamped, and structured in an auditable format [460, 461]..</w:t>
      </w:r>
      <w:r w:rsidDel="00000000" w:rsidR="00000000" w:rsidRPr="00000000">
        <w:rPr>
          <w:rtl w:val="0"/>
        </w:rPr>
      </w:r>
    </w:p>
    <w:p w:rsidR="00000000" w:rsidDel="00000000" w:rsidP="00000000" w:rsidRDefault="00000000" w:rsidRPr="00000000" w14:paraId="00000006">
      <w:pPr>
        <w:spacing w:line="240" w:lineRule="auto"/>
        <w:rPr>
          <w:sz w:val="14"/>
          <w:szCs w:val="14"/>
        </w:rPr>
      </w:pPr>
      <w:r w:rsidDel="00000000" w:rsidR="00000000" w:rsidRPr="00000000">
        <w:rPr>
          <w:sz w:val="14"/>
          <w:szCs w:val="14"/>
          <w:rtl w:val="0"/>
        </w:rPr>
        <w:t xml:space="preserve">This gap presents a concrete opportunity for a manufacturer-side middleware product that packages sensor and maintenance data into structured evidence aligned with insurer requirements, thus compressing the timeline from failure to claim resolution.</w:t>
      </w:r>
    </w:p>
    <w:p w:rsidR="00000000" w:rsidDel="00000000" w:rsidP="00000000" w:rsidRDefault="00000000" w:rsidRPr="00000000" w14:paraId="00000007">
      <w:pPr>
        <w:spacing w:line="240" w:lineRule="auto"/>
        <w:rPr>
          <w:sz w:val="14"/>
          <w:szCs w:val="14"/>
        </w:rPr>
      </w:pPr>
      <w:r w:rsidDel="00000000" w:rsidR="00000000" w:rsidRPr="00000000">
        <w:rPr>
          <w:rtl w:val="0"/>
        </w:rPr>
      </w:r>
    </w:p>
    <w:p w:rsidR="00000000" w:rsidDel="00000000" w:rsidP="00000000" w:rsidRDefault="00000000" w:rsidRPr="00000000" w14:paraId="00000008">
      <w:pPr>
        <w:spacing w:line="240" w:lineRule="auto"/>
        <w:rPr>
          <w:sz w:val="14"/>
          <w:szCs w:val="14"/>
        </w:rPr>
      </w:pPr>
      <w:r w:rsidDel="00000000" w:rsidR="00000000" w:rsidRPr="00000000">
        <w:rPr>
          <w:sz w:val="14"/>
          <w:szCs w:val="14"/>
          <w:rtl w:val="0"/>
        </w:rPr>
        <w:t xml:space="preserve">“Within seconds, industrial production generates vast amounts of data about processes and the products. Analyzing this data holds enormous potential for companies, both in terms of efficiency and cost. Everyone is sitting on data, but so far they can’t use it.” - Nathan Gruber, Founder of Manex AI</w:t>
      </w:r>
    </w:p>
    <w:p w:rsidR="00000000" w:rsidDel="00000000" w:rsidP="00000000" w:rsidRDefault="00000000" w:rsidRPr="00000000" w14:paraId="00000009">
      <w:pPr>
        <w:spacing w:line="240" w:lineRule="auto"/>
        <w:rPr>
          <w:sz w:val="14"/>
          <w:szCs w:val="1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mdpi.com/1424-8220/21/4/1470" TargetMode="External"/><Relationship Id="rId11" Type="http://schemas.openxmlformats.org/officeDocument/2006/relationships/hyperlink" Target="https://books.google.de/books?id=HC_wDwAAQBAJ" TargetMode="External"/><Relationship Id="rId10" Type="http://schemas.openxmlformats.org/officeDocument/2006/relationships/hyperlink" Target="https://www.swissre.com/dam/jcr:3af81051-50db-4ea7-9e07-c0398a9145f9/pub_engineering_insurance_and_reinsurance_en.pdf" TargetMode="External"/><Relationship Id="rId13" Type="http://schemas.openxmlformats.org/officeDocument/2006/relationships/hyperlink" Target="https://assets.new.siemens.com/siemens/assets/api/uuid:37142e74-d43b-4c2f-b284-970e6264a0be/Senseye-Predictive-Maintenance_original.pdf" TargetMode="External"/><Relationship Id="rId12" Type="http://schemas.openxmlformats.org/officeDocument/2006/relationships/hyperlink" Target="https://ieeexplore.ieee.org/document/575458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wissre.com/dam/jcr:3af81051-50db-4ea7-9e07-c0398a9145f9/pub_engineering_insurance_and_reinsurance_en.pdf" TargetMode="External"/><Relationship Id="rId15" Type="http://schemas.openxmlformats.org/officeDocument/2006/relationships/hyperlink" Target="https://www.milliman.com/en/insight/your-data-is-better-than-you-think-using-ai-for-insurance-claims" TargetMode="External"/><Relationship Id="rId14" Type="http://schemas.openxmlformats.org/officeDocument/2006/relationships/hyperlink" Target="https://www.rockwellautomation.com/en-us/products/software/factorytalk/maintenancesuite/factorytalk-analytics-guardianai.html" TargetMode="External"/><Relationship Id="rId17" Type="http://schemas.openxmlformats.org/officeDocument/2006/relationships/hyperlink" Target="https://arxiv.org/abs/2603.08171" TargetMode="External"/><Relationship Id="rId16" Type="http://schemas.openxmlformats.org/officeDocument/2006/relationships/hyperlink" Target="https://www.milliman.com/en/insight/your-data-is-better-than-you-think-using-ai-for-insurance-claims" TargetMode="External"/><Relationship Id="rId5" Type="http://schemas.openxmlformats.org/officeDocument/2006/relationships/styles" Target="styles.xml"/><Relationship Id="rId19" Type="http://schemas.openxmlformats.org/officeDocument/2006/relationships/hyperlink" Target="https://www.mdpi.com/1424-8220/21/4/1470" TargetMode="External"/><Relationship Id="rId6" Type="http://schemas.openxmlformats.org/officeDocument/2006/relationships/hyperlink" Target="https://www.ey.com/en_no/insights/consulting/five-leading-questions-to-support-your-claims-automation-journey" TargetMode="External"/><Relationship Id="rId18" Type="http://schemas.openxmlformats.org/officeDocument/2006/relationships/hyperlink" Target="https://arxiv.org/abs/2603.08171" TargetMode="External"/><Relationship Id="rId7" Type="http://schemas.openxmlformats.org/officeDocument/2006/relationships/hyperlink" Target="https://www.advantaglobal.com/news/three-common-machinery-breakdown" TargetMode="External"/><Relationship Id="rId8" Type="http://schemas.openxmlformats.org/officeDocument/2006/relationships/hyperlink" Target="https://www.advantaglobal.com/news/three-common-machinery-breakdo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